
<file path=[Content_Types].xml><?xml version="1.0" encoding="utf-8"?>
<Types xmlns="http://schemas.openxmlformats.org/package/2006/content-types">
  <Override PartName="/_rels/.rels" ContentType="application/vnd.openxmlformats-package.relationships+xml"/>
  <Override PartName="/customXml/_rels/item5.xml.rels" ContentType="application/vnd.openxmlformats-package.relationships+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1.xml" ContentType="application/xml"/>
  <Override PartName="/customXml/itemProps2.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3.xml" ContentType="application/vnd.openxmlformats-officedocument.customXmlProperties+xml"/>
  <Override PartName="/customXml/item3.xml" ContentType="application/xml"/>
  <Override PartName="/customXml/itemProps4.xml" ContentType="application/vnd.openxmlformats-officedocument.customXmlProperties+xml"/>
  <Override PartName="/customXml/item4.xml" ContentType="application/xml"/>
  <Override PartName="/customXml/itemProps5.xml" ContentType="application/vnd.openxmlformats-officedocument.customXmlProperties+xml"/>
  <Override PartName="/customXml/item5.xml" ContentType="application/xml"/>
  <Override PartName="/word/_rels/comments.xml.rels" ContentType="application/vnd.openxmlformats-package.relationships+xml"/>
  <Override PartName="/word/_rels/footnotes.xml.rels" ContentType="application/vnd.openxmlformats-package.relationship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footnotes.xml" ContentType="application/vnd.openxmlformats-officedocument.wordprocessingml.footnotes+xml"/>
  <Override PartName="/word/theme/theme1.xml" ContentType="application/vnd.openxmlformats-officedocument.theme+xml"/>
  <Override PartName="/word/media/image13.wmf" ContentType="image/x-wmf"/>
  <Override PartName="/word/media/image12.wmf" ContentType="image/x-wmf"/>
  <Override PartName="/word/media/image11.png" ContentType="image/png"/>
  <Override PartName="/word/media/image1.png" ContentType="image/png"/>
  <Override PartName="/word/media/image2.wmf" ContentType="image/x-wmf"/>
  <Override PartName="/word/media/image3.wmf" ContentType="image/x-wmf"/>
  <Override PartName="/word/media/image4.wmf" ContentType="image/x-wmf"/>
  <Override PartName="/word/media/image5.wmf" ContentType="image/x-wmf"/>
  <Override PartName="/word/media/image6.wmf" ContentType="image/x-wmf"/>
  <Override PartName="/word/media/image7.wmf" ContentType="image/x-wmf"/>
  <Override PartName="/word/media/image8.wmf" ContentType="image/x-wmf"/>
  <Override PartName="/word/media/image10.wmf" ContentType="image/x-wmf"/>
  <Override PartName="/word/media/image9.wmf" ContentType="image/x-wmf"/>
  <Override PartName="/word/settings.xml" ContentType="application/vnd.openxmlformats-officedocument.wordprocessingml.settings+xml"/>
  <Override PartName="/word/styles.xml" ContentType="application/vnd.openxmlformats-officedocument.wordprocessingml.styles+xml"/>
  <Override PartName="/word/comments.xml" ContentType="application/vnd.openxmlformats-officedocument.wordprocessingml.comment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 xml:space="preserve"> </w:t>
      </w:r>
    </w:p>
    <w:p>
      <w:pPr>
        <w:pStyle w:val="Normal"/>
        <w:rPr/>
      </w:pPr>
      <w:r>
        <w:rPr/>
      </w:r>
    </w:p>
    <w:p>
      <w:pPr>
        <w:pStyle w:val="Normal"/>
        <w:rPr/>
      </w:pPr>
      <w:r>
        <w:rPr/>
      </w:r>
    </w:p>
    <w:p>
      <w:pPr>
        <w:pStyle w:val="Normal"/>
        <w:rPr/>
      </w:pPr>
      <w:r>
        <w:rPr/>
      </w:r>
    </w:p>
    <w:p>
      <w:pPr>
        <w:pStyle w:val="Title"/>
        <w:rPr/>
      </w:pPr>
      <w:bookmarkStart w:id="0" w:name="_Toc367325025"/>
      <w:bookmarkStart w:id="1" w:name="_Toc367308121"/>
      <w:bookmarkEnd w:id="0"/>
      <w:bookmarkEnd w:id="1"/>
      <w:r>
        <w:rPr/>
        <w:t>Metodika k  časovému harmonogramu vytvárania a  sprístupňovania datasetov</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t>September 2017</w:t>
      </w:r>
    </w:p>
    <w:p>
      <w:pPr>
        <w:pStyle w:val="Normal"/>
        <w:rPr>
          <w:lang w:val="en-US"/>
        </w:rPr>
      </w:pPr>
      <w:r>
        <w:rPr/>
        <w:t>Verzia: 02-</w:t>
      </w:r>
      <w:r>
        <w:rPr>
          <w:lang w:val="en-US"/>
        </w:rPr>
        <w:t>20170917</w:t>
      </w:r>
      <w:r>
        <w:br w:type="page"/>
      </w:r>
    </w:p>
    <w:p>
      <w:pPr>
        <w:pStyle w:val="Title"/>
        <w:jc w:val="left"/>
        <w:rPr/>
      </w:pPr>
      <w:bookmarkStart w:id="2" w:name="_Toc367325026"/>
      <w:r>
        <w:rPr/>
        <w:t>Obs</w:t>
      </w:r>
      <w:bookmarkStart w:id="3" w:name="_GoBack"/>
      <w:bookmarkEnd w:id="2"/>
      <w:bookmarkEnd w:id="3"/>
      <w:r>
        <w:rPr/>
        <w:t>ah</w:t>
      </w:r>
    </w:p>
    <w:p>
      <w:pPr>
        <w:pStyle w:val="Normal"/>
        <w:rPr/>
      </w:pPr>
      <w:r>
        <w:rPr/>
      </w:r>
    </w:p>
    <w:p>
      <w:pPr>
        <w:pStyle w:val="Contents1"/>
        <w:tabs>
          <w:tab w:val="right" w:pos="9622" w:leader="dot"/>
        </w:tabs>
        <w:rPr>
          <w:rFonts w:ascii="Cambria" w:hAnsi="Cambria"/>
          <w:sz w:val="24"/>
          <w:lang w:val="en-US" w:eastAsia="ja-JP"/>
        </w:rPr>
      </w:pPr>
      <w:r>
        <w:fldChar w:fldCharType="begin"/>
      </w:r>
      <w:r>
        <w:instrText> TOC \o "1-9" \h</w:instrText>
      </w:r>
      <w:r>
        <w:fldChar w:fldCharType="separate"/>
      </w:r>
      <w:r>
        <w:rPr/>
        <w:t>Metodika k časovému harmonogramu vytvárania a sprístupňovania datasetov</w:t>
        <w:tab/>
        <w:t>1</w:t>
      </w:r>
    </w:p>
    <w:p>
      <w:pPr>
        <w:pStyle w:val="Contents1"/>
        <w:tabs>
          <w:tab w:val="right" w:pos="9622" w:leader="dot"/>
        </w:tabs>
        <w:rPr>
          <w:rFonts w:ascii="Cambria" w:hAnsi="Cambria"/>
          <w:sz w:val="24"/>
          <w:lang w:val="en-US" w:eastAsia="ja-JP"/>
        </w:rPr>
      </w:pPr>
      <w:r>
        <w:rPr/>
        <w:t>Obsah</w:t>
        <w:tab/>
        <w:t>2</w:t>
      </w:r>
    </w:p>
    <w:p>
      <w:pPr>
        <w:pStyle w:val="Contents1"/>
        <w:tabs>
          <w:tab w:val="left" w:pos="407" w:leader="none"/>
          <w:tab w:val="right" w:pos="9622" w:leader="dot"/>
        </w:tabs>
        <w:rPr>
          <w:rFonts w:ascii="Cambria" w:hAnsi="Cambria"/>
          <w:sz w:val="24"/>
          <w:lang w:val="en-US" w:eastAsia="ja-JP"/>
        </w:rPr>
      </w:pPr>
      <w:r>
        <w:rPr/>
        <w:t>1.</w:t>
      </w:r>
      <w:r>
        <w:rPr>
          <w:rFonts w:ascii="Cambria" w:hAnsi="Cambria"/>
          <w:sz w:val="24"/>
          <w:lang w:val="en-US" w:eastAsia="ja-JP"/>
        </w:rPr>
        <w:tab/>
      </w:r>
      <w:r>
        <w:rPr/>
        <w:t>Úvod</w:t>
        <w:tab/>
        <w:t>3</w:t>
      </w:r>
    </w:p>
    <w:p>
      <w:pPr>
        <w:pStyle w:val="Contents2"/>
        <w:tabs>
          <w:tab w:val="left" w:pos="774" w:leader="none"/>
          <w:tab w:val="right" w:pos="9622" w:leader="dot"/>
        </w:tabs>
        <w:rPr>
          <w:rFonts w:ascii="Cambria" w:hAnsi="Cambria"/>
          <w:sz w:val="24"/>
          <w:lang w:val="en-US" w:eastAsia="ja-JP"/>
        </w:rPr>
      </w:pPr>
      <w:r>
        <w:rPr/>
        <w:t>1.1.</w:t>
      </w:r>
      <w:r>
        <w:rPr>
          <w:rFonts w:ascii="Cambria" w:hAnsi="Cambria"/>
          <w:sz w:val="24"/>
          <w:lang w:val="en-US" w:eastAsia="ja-JP"/>
        </w:rPr>
        <w:tab/>
      </w:r>
      <w:r>
        <w:rPr/>
        <w:t>Účel metodiky</w:t>
        <w:tab/>
        <w:t>3</w:t>
      </w:r>
    </w:p>
    <w:p>
      <w:pPr>
        <w:pStyle w:val="Contents2"/>
        <w:tabs>
          <w:tab w:val="left" w:pos="774" w:leader="none"/>
          <w:tab w:val="right" w:pos="9622" w:leader="dot"/>
        </w:tabs>
        <w:rPr>
          <w:rFonts w:ascii="Cambria" w:hAnsi="Cambria"/>
          <w:sz w:val="24"/>
          <w:lang w:val="en-US" w:eastAsia="ja-JP"/>
        </w:rPr>
      </w:pPr>
      <w:r>
        <w:rPr/>
        <w:t>1.2.</w:t>
      </w:r>
      <w:r>
        <w:rPr>
          <w:rFonts w:ascii="Cambria" w:hAnsi="Cambria"/>
          <w:sz w:val="24"/>
          <w:lang w:val="en-US" w:eastAsia="ja-JP"/>
        </w:rPr>
        <w:tab/>
      </w:r>
      <w:r>
        <w:rPr/>
        <w:t>Aktivíty</w:t>
        <w:tab/>
        <w:t>3</w:t>
      </w:r>
    </w:p>
    <w:p>
      <w:pPr>
        <w:pStyle w:val="Contents1"/>
        <w:tabs>
          <w:tab w:val="left" w:pos="407" w:leader="none"/>
          <w:tab w:val="right" w:pos="9622" w:leader="dot"/>
        </w:tabs>
        <w:rPr>
          <w:rFonts w:ascii="Cambria" w:hAnsi="Cambria"/>
          <w:sz w:val="24"/>
          <w:lang w:val="en-US" w:eastAsia="ja-JP"/>
        </w:rPr>
      </w:pPr>
      <w:r>
        <w:rPr/>
        <w:t>2.</w:t>
      </w:r>
      <w:r>
        <w:rPr>
          <w:rFonts w:ascii="Cambria" w:hAnsi="Cambria"/>
          <w:sz w:val="24"/>
          <w:lang w:val="en-US" w:eastAsia="ja-JP"/>
        </w:rPr>
        <w:tab/>
      </w:r>
      <w:r>
        <w:rPr/>
        <w:t>Identifikovanie datasetov pre zverejnenie</w:t>
        <w:tab/>
        <w:t>4</w:t>
      </w:r>
    </w:p>
    <w:p>
      <w:pPr>
        <w:pStyle w:val="Contents2"/>
        <w:tabs>
          <w:tab w:val="left" w:pos="774" w:leader="none"/>
          <w:tab w:val="right" w:pos="9622" w:leader="dot"/>
        </w:tabs>
        <w:rPr>
          <w:rFonts w:ascii="Cambria" w:hAnsi="Cambria"/>
          <w:sz w:val="24"/>
          <w:lang w:val="en-US" w:eastAsia="ja-JP"/>
        </w:rPr>
      </w:pPr>
      <w:r>
        <w:rPr/>
        <w:t>2.1.</w:t>
      </w:r>
      <w:r>
        <w:rPr>
          <w:rFonts w:ascii="Cambria" w:hAnsi="Cambria"/>
          <w:sz w:val="24"/>
          <w:lang w:val="en-US" w:eastAsia="ja-JP"/>
        </w:rPr>
        <w:tab/>
      </w:r>
      <w:r>
        <w:rPr/>
        <w:t>Analýza dostupných dátových zdrojov</w:t>
        <w:tab/>
        <w:t>4</w:t>
      </w:r>
    </w:p>
    <w:p>
      <w:pPr>
        <w:pStyle w:val="Contents2"/>
        <w:tabs>
          <w:tab w:val="left" w:pos="774" w:leader="none"/>
          <w:tab w:val="right" w:pos="9622" w:leader="dot"/>
        </w:tabs>
        <w:rPr>
          <w:rFonts w:ascii="Cambria" w:hAnsi="Cambria"/>
          <w:sz w:val="24"/>
          <w:lang w:val="en-US" w:eastAsia="ja-JP"/>
        </w:rPr>
      </w:pPr>
      <w:r>
        <w:rPr/>
        <w:t>2.2.</w:t>
      </w:r>
      <w:r>
        <w:rPr>
          <w:rFonts w:ascii="Cambria" w:hAnsi="Cambria"/>
          <w:sz w:val="24"/>
          <w:lang w:val="en-US" w:eastAsia="ja-JP"/>
        </w:rPr>
        <w:tab/>
      </w:r>
      <w:r>
        <w:rPr/>
        <w:t>Identifikovanie datasetov pre zverejnenie</w:t>
        <w:tab/>
        <w:t>5</w:t>
      </w:r>
    </w:p>
    <w:p>
      <w:pPr>
        <w:pStyle w:val="Contents2"/>
        <w:tabs>
          <w:tab w:val="left" w:pos="774" w:leader="none"/>
          <w:tab w:val="right" w:pos="9622" w:leader="dot"/>
        </w:tabs>
        <w:rPr>
          <w:rFonts w:ascii="Cambria" w:hAnsi="Cambria"/>
          <w:sz w:val="24"/>
          <w:lang w:val="en-US" w:eastAsia="ja-JP"/>
        </w:rPr>
      </w:pPr>
      <w:r>
        <w:rPr/>
        <w:t>2.3.</w:t>
      </w:r>
      <w:r>
        <w:rPr>
          <w:rFonts w:ascii="Cambria" w:hAnsi="Cambria"/>
          <w:sz w:val="24"/>
          <w:lang w:val="en-US" w:eastAsia="ja-JP"/>
        </w:rPr>
        <w:tab/>
      </w:r>
      <w:r>
        <w:rPr/>
        <w:t>Identifikovanie nezverejňovaných datasetov</w:t>
        <w:tab/>
        <w:t>8</w:t>
      </w:r>
    </w:p>
    <w:p>
      <w:pPr>
        <w:pStyle w:val="Contents2"/>
        <w:tabs>
          <w:tab w:val="left" w:pos="774" w:leader="none"/>
          <w:tab w:val="right" w:pos="9622" w:leader="dot"/>
        </w:tabs>
        <w:rPr>
          <w:rFonts w:ascii="Cambria" w:hAnsi="Cambria"/>
          <w:sz w:val="24"/>
          <w:lang w:val="en-US" w:eastAsia="ja-JP"/>
        </w:rPr>
      </w:pPr>
      <w:r>
        <w:rPr/>
        <w:t>2.4.</w:t>
      </w:r>
      <w:r>
        <w:rPr>
          <w:rFonts w:ascii="Cambria" w:hAnsi="Cambria"/>
          <w:sz w:val="24"/>
          <w:lang w:val="en-US" w:eastAsia="ja-JP"/>
        </w:rPr>
        <w:tab/>
      </w:r>
      <w:r>
        <w:rPr/>
        <w:t>Register rizík</w:t>
        <w:tab/>
        <w:t>9</w:t>
      </w:r>
    </w:p>
    <w:p>
      <w:pPr>
        <w:pStyle w:val="Contents2"/>
        <w:tabs>
          <w:tab w:val="left" w:pos="774" w:leader="none"/>
          <w:tab w:val="right" w:pos="9622" w:leader="dot"/>
        </w:tabs>
        <w:rPr>
          <w:rFonts w:ascii="Cambria" w:hAnsi="Cambria"/>
          <w:sz w:val="24"/>
          <w:lang w:val="en-US" w:eastAsia="ja-JP"/>
        </w:rPr>
      </w:pPr>
      <w:r>
        <w:rPr/>
        <w:t>2.5.</w:t>
      </w:r>
      <w:r>
        <w:rPr>
          <w:rFonts w:ascii="Cambria" w:hAnsi="Cambria"/>
          <w:sz w:val="24"/>
          <w:lang w:val="en-US" w:eastAsia="ja-JP"/>
        </w:rPr>
        <w:tab/>
      </w:r>
      <w:r>
        <w:rPr/>
        <w:t>Zoznam potenciálnych datasetov pre zverejnenie</w:t>
        <w:tab/>
        <w:t>9</w:t>
      </w:r>
    </w:p>
    <w:p>
      <w:pPr>
        <w:pStyle w:val="Contents1"/>
        <w:tabs>
          <w:tab w:val="left" w:pos="407" w:leader="none"/>
          <w:tab w:val="right" w:pos="9622" w:leader="dot"/>
        </w:tabs>
        <w:rPr>
          <w:rFonts w:ascii="Cambria" w:hAnsi="Cambria"/>
          <w:sz w:val="24"/>
          <w:lang w:val="en-US" w:eastAsia="ja-JP"/>
        </w:rPr>
      </w:pPr>
      <w:r>
        <w:rPr/>
        <w:t>3.</w:t>
      </w:r>
      <w:r>
        <w:rPr>
          <w:rFonts w:ascii="Cambria" w:hAnsi="Cambria"/>
          <w:sz w:val="24"/>
          <w:lang w:val="en-US" w:eastAsia="ja-JP"/>
        </w:rPr>
        <w:tab/>
      </w:r>
      <w:r>
        <w:rPr/>
        <w:t>Stanovenie náročnosti zverejnenia datasetov</w:t>
        <w:tab/>
        <w:t>9</w:t>
      </w:r>
    </w:p>
    <w:p>
      <w:pPr>
        <w:pStyle w:val="Contents2"/>
        <w:tabs>
          <w:tab w:val="left" w:pos="774" w:leader="none"/>
          <w:tab w:val="right" w:pos="9622" w:leader="dot"/>
        </w:tabs>
        <w:rPr>
          <w:rFonts w:ascii="Cambria" w:hAnsi="Cambria"/>
          <w:sz w:val="24"/>
          <w:lang w:val="en-US" w:eastAsia="ja-JP"/>
        </w:rPr>
      </w:pPr>
      <w:r>
        <w:rPr>
          <w:rFonts w:cs="Arial"/>
        </w:rPr>
        <w:t>3.1.</w:t>
      </w:r>
      <w:r>
        <w:rPr>
          <w:rFonts w:ascii="Cambria" w:hAnsi="Cambria"/>
          <w:sz w:val="24"/>
          <w:lang w:val="en-US" w:eastAsia="ja-JP"/>
        </w:rPr>
        <w:tab/>
      </w:r>
      <w:r>
        <w:rPr>
          <w:rFonts w:cs="Arial"/>
        </w:rPr>
        <w:t>Medzinárodný štandard</w:t>
      </w:r>
      <w:r>
        <w:rPr/>
        <w:tab/>
        <w:t>10</w:t>
      </w:r>
    </w:p>
    <w:p>
      <w:pPr>
        <w:pStyle w:val="Contents2"/>
        <w:tabs>
          <w:tab w:val="left" w:pos="774" w:leader="none"/>
          <w:tab w:val="right" w:pos="9622" w:leader="dot"/>
        </w:tabs>
        <w:rPr>
          <w:rFonts w:ascii="Cambria" w:hAnsi="Cambria"/>
          <w:sz w:val="24"/>
          <w:lang w:val="en-US" w:eastAsia="ja-JP"/>
        </w:rPr>
      </w:pPr>
      <w:r>
        <w:rPr>
          <w:rFonts w:cs="Arial"/>
        </w:rPr>
        <w:t>3.2.</w:t>
      </w:r>
      <w:r>
        <w:rPr>
          <w:rFonts w:ascii="Cambria" w:hAnsi="Cambria"/>
          <w:sz w:val="24"/>
          <w:lang w:val="en-US" w:eastAsia="ja-JP"/>
        </w:rPr>
        <w:tab/>
      </w:r>
      <w:r>
        <w:rPr>
          <w:rFonts w:cs="Arial"/>
        </w:rPr>
        <w:t>Štandardy ISVS</w:t>
      </w:r>
      <w:r>
        <w:rPr/>
        <w:tab/>
        <w:t>11</w:t>
      </w:r>
    </w:p>
    <w:p>
      <w:pPr>
        <w:pStyle w:val="Contents2"/>
        <w:tabs>
          <w:tab w:val="left" w:pos="774" w:leader="none"/>
          <w:tab w:val="right" w:pos="9622" w:leader="dot"/>
        </w:tabs>
        <w:rPr>
          <w:rFonts w:ascii="Cambria" w:hAnsi="Cambria"/>
          <w:sz w:val="24"/>
          <w:lang w:val="en-US" w:eastAsia="ja-JP"/>
        </w:rPr>
      </w:pPr>
      <w:r>
        <w:rPr/>
        <w:t>3.3.</w:t>
      </w:r>
      <w:r>
        <w:rPr>
          <w:rFonts w:ascii="Cambria" w:hAnsi="Cambria"/>
          <w:sz w:val="24"/>
          <w:lang w:val="en-US" w:eastAsia="ja-JP"/>
        </w:rPr>
        <w:tab/>
      </w:r>
      <w:r>
        <w:rPr/>
        <w:t>Určenie kvality datasetu</w:t>
        <w:tab/>
        <w:t>11</w:t>
      </w:r>
    </w:p>
    <w:p>
      <w:pPr>
        <w:pStyle w:val="Contents2"/>
        <w:tabs>
          <w:tab w:val="left" w:pos="774" w:leader="none"/>
          <w:tab w:val="right" w:pos="9622" w:leader="dot"/>
        </w:tabs>
        <w:rPr>
          <w:rFonts w:ascii="Cambria" w:hAnsi="Cambria"/>
          <w:sz w:val="24"/>
          <w:lang w:val="en-US" w:eastAsia="ja-JP"/>
        </w:rPr>
      </w:pPr>
      <w:r>
        <w:rPr>
          <w:rFonts w:eastAsia="Arial Unicode MS"/>
        </w:rPr>
        <w:t>3.4.</w:t>
      </w:r>
      <w:r>
        <w:rPr>
          <w:rFonts w:ascii="Cambria" w:hAnsi="Cambria"/>
          <w:sz w:val="24"/>
          <w:lang w:val="en-US" w:eastAsia="ja-JP"/>
        </w:rPr>
        <w:tab/>
      </w:r>
      <w:r>
        <w:rPr/>
        <w:t>Náročnosť zverejnenia</w:t>
        <w:tab/>
        <w:t>11</w:t>
      </w:r>
    </w:p>
    <w:p>
      <w:pPr>
        <w:pStyle w:val="Contents1"/>
        <w:tabs>
          <w:tab w:val="left" w:pos="407" w:leader="none"/>
          <w:tab w:val="right" w:pos="9622" w:leader="dot"/>
        </w:tabs>
        <w:rPr>
          <w:rFonts w:ascii="Cambria" w:hAnsi="Cambria"/>
          <w:sz w:val="24"/>
          <w:lang w:val="en-US" w:eastAsia="ja-JP"/>
        </w:rPr>
      </w:pPr>
      <w:r>
        <w:rPr/>
        <w:t>4.</w:t>
      </w:r>
      <w:r>
        <w:rPr>
          <w:rFonts w:ascii="Cambria" w:hAnsi="Cambria"/>
          <w:sz w:val="24"/>
          <w:lang w:val="en-US" w:eastAsia="ja-JP"/>
        </w:rPr>
        <w:tab/>
      </w:r>
      <w:r>
        <w:rPr/>
        <w:t>Vytváranie referencovateľných identifikátorov</w:t>
        <w:tab/>
        <w:t>12</w:t>
      </w:r>
    </w:p>
    <w:p>
      <w:pPr>
        <w:pStyle w:val="Contents1"/>
        <w:tabs>
          <w:tab w:val="left" w:pos="407" w:leader="none"/>
          <w:tab w:val="right" w:pos="9622" w:leader="dot"/>
        </w:tabs>
        <w:rPr>
          <w:rFonts w:ascii="Cambria" w:hAnsi="Cambria"/>
          <w:sz w:val="24"/>
          <w:lang w:val="en-US" w:eastAsia="ja-JP"/>
        </w:rPr>
      </w:pPr>
      <w:r>
        <w:rPr/>
        <w:t>5.</w:t>
      </w:r>
      <w:r>
        <w:rPr>
          <w:rFonts w:ascii="Cambria" w:hAnsi="Cambria"/>
          <w:sz w:val="24"/>
          <w:lang w:val="en-US" w:eastAsia="ja-JP"/>
        </w:rPr>
        <w:tab/>
      </w:r>
      <w:r>
        <w:rPr/>
        <w:t>Stanovenie priorít pre zverejnenie datasetov</w:t>
        <w:tab/>
        <w:t>13</w:t>
      </w:r>
    </w:p>
    <w:p>
      <w:pPr>
        <w:pStyle w:val="Contents2"/>
        <w:tabs>
          <w:tab w:val="left" w:pos="774" w:leader="none"/>
          <w:tab w:val="right" w:pos="9622" w:leader="dot"/>
        </w:tabs>
        <w:rPr>
          <w:rFonts w:ascii="Cambria" w:hAnsi="Cambria"/>
          <w:sz w:val="24"/>
          <w:lang w:val="en-US" w:eastAsia="ja-JP"/>
        </w:rPr>
      </w:pPr>
      <w:r>
        <w:rPr/>
        <w:t>5.1.</w:t>
      </w:r>
      <w:r>
        <w:rPr>
          <w:rFonts w:ascii="Cambria" w:hAnsi="Cambria"/>
          <w:sz w:val="24"/>
          <w:lang w:val="en-US" w:eastAsia="ja-JP"/>
        </w:rPr>
        <w:tab/>
      </w:r>
      <w:r>
        <w:rPr/>
        <w:t>Priority publikovania otvorených dát</w:t>
        <w:tab/>
        <w:t>14</w:t>
      </w:r>
    </w:p>
    <w:p>
      <w:pPr>
        <w:pStyle w:val="Contents2"/>
        <w:tabs>
          <w:tab w:val="left" w:pos="774" w:leader="none"/>
          <w:tab w:val="right" w:pos="9622" w:leader="dot"/>
        </w:tabs>
        <w:rPr>
          <w:rFonts w:ascii="Cambria" w:hAnsi="Cambria"/>
          <w:sz w:val="24"/>
          <w:lang w:val="en-US" w:eastAsia="ja-JP"/>
        </w:rPr>
      </w:pPr>
      <w:r>
        <w:rPr/>
        <w:t>5.2.</w:t>
      </w:r>
      <w:r>
        <w:rPr>
          <w:rFonts w:ascii="Cambria" w:hAnsi="Cambria"/>
          <w:sz w:val="24"/>
          <w:lang w:val="en-US" w:eastAsia="ja-JP"/>
        </w:rPr>
        <w:tab/>
      </w:r>
      <w:r>
        <w:rPr/>
        <w:t>Prioritizačné kritériá</w:t>
        <w:tab/>
        <w:t>14</w:t>
      </w:r>
    </w:p>
    <w:p>
      <w:pPr>
        <w:pStyle w:val="Contents2"/>
        <w:tabs>
          <w:tab w:val="left" w:pos="774" w:leader="none"/>
          <w:tab w:val="right" w:pos="9622" w:leader="dot"/>
        </w:tabs>
        <w:rPr>
          <w:rFonts w:ascii="Cambria" w:hAnsi="Cambria"/>
          <w:sz w:val="24"/>
          <w:lang w:val="en-US" w:eastAsia="ja-JP"/>
        </w:rPr>
      </w:pPr>
      <w:r>
        <w:rPr/>
        <w:t>5.3.</w:t>
      </w:r>
      <w:r>
        <w:rPr>
          <w:rFonts w:ascii="Cambria" w:hAnsi="Cambria"/>
          <w:sz w:val="24"/>
          <w:lang w:val="en-US" w:eastAsia="ja-JP"/>
        </w:rPr>
        <w:tab/>
      </w:r>
      <w:r>
        <w:rPr/>
        <w:t>Publikovanie datasetov vo formáte Linked Data</w:t>
        <w:tab/>
        <w:t>15</w:t>
      </w:r>
    </w:p>
    <w:p>
      <w:pPr>
        <w:pStyle w:val="Contents1"/>
        <w:tabs>
          <w:tab w:val="left" w:pos="407" w:leader="none"/>
          <w:tab w:val="right" w:pos="9622" w:leader="dot"/>
        </w:tabs>
        <w:rPr>
          <w:rFonts w:ascii="Cambria" w:hAnsi="Cambria"/>
          <w:sz w:val="24"/>
          <w:lang w:val="en-US" w:eastAsia="ja-JP"/>
        </w:rPr>
      </w:pPr>
      <w:r>
        <w:rPr/>
        <w:t>6.</w:t>
      </w:r>
      <w:r>
        <w:rPr>
          <w:rFonts w:ascii="Cambria" w:hAnsi="Cambria"/>
          <w:sz w:val="24"/>
          <w:lang w:val="en-US" w:eastAsia="ja-JP"/>
        </w:rPr>
        <w:tab/>
      </w:r>
      <w:r>
        <w:rPr/>
        <w:t>Časový harmonogram vytvárania a sprístupňovania datasetov</w:t>
        <w:tab/>
        <w:t>15</w:t>
      </w:r>
    </w:p>
    <w:p>
      <w:pPr>
        <w:pStyle w:val="Contents2"/>
        <w:tabs>
          <w:tab w:val="left" w:pos="774" w:leader="none"/>
          <w:tab w:val="right" w:pos="9622" w:leader="dot"/>
        </w:tabs>
        <w:rPr>
          <w:rFonts w:ascii="Cambria" w:hAnsi="Cambria"/>
          <w:sz w:val="24"/>
          <w:lang w:val="en-US" w:eastAsia="ja-JP"/>
        </w:rPr>
      </w:pPr>
      <w:r>
        <w:rPr/>
        <w:t>6.1.</w:t>
      </w:r>
      <w:r>
        <w:rPr>
          <w:rFonts w:ascii="Cambria" w:hAnsi="Cambria"/>
          <w:sz w:val="24"/>
          <w:lang w:val="en-US" w:eastAsia="ja-JP"/>
        </w:rPr>
        <w:tab/>
      </w:r>
      <w:r>
        <w:rPr/>
        <w:t>Stanovenie cieľového stavu</w:t>
        <w:tab/>
        <w:t>15</w:t>
      </w:r>
    </w:p>
    <w:p>
      <w:pPr>
        <w:pStyle w:val="Contents2"/>
        <w:tabs>
          <w:tab w:val="left" w:pos="774" w:leader="none"/>
          <w:tab w:val="right" w:pos="9622" w:leader="dot"/>
        </w:tabs>
        <w:rPr>
          <w:rFonts w:ascii="Cambria" w:hAnsi="Cambria"/>
          <w:sz w:val="24"/>
          <w:lang w:val="en-US" w:eastAsia="ja-JP"/>
        </w:rPr>
      </w:pPr>
      <w:r>
        <w:rPr/>
        <w:t>6.2.</w:t>
      </w:r>
      <w:r>
        <w:rPr>
          <w:rFonts w:ascii="Cambria" w:hAnsi="Cambria"/>
          <w:sz w:val="24"/>
          <w:lang w:val="en-US" w:eastAsia="ja-JP"/>
        </w:rPr>
        <w:tab/>
      </w:r>
      <w:r>
        <w:rPr>
          <w:rFonts w:eastAsia="Arial Unicode MS"/>
        </w:rPr>
        <w:t>Časový harmonogram vytvárania a sprístupňovania datasetov</w:t>
      </w:r>
      <w:r>
        <w:rPr/>
        <w:tab/>
        <w:t>16</w:t>
      </w:r>
    </w:p>
    <w:p>
      <w:pPr>
        <w:pStyle w:val="Contents1"/>
        <w:tabs>
          <w:tab w:val="left" w:pos="407" w:leader="none"/>
          <w:tab w:val="right" w:pos="9622" w:leader="dot"/>
        </w:tabs>
        <w:rPr>
          <w:rFonts w:ascii="Cambria" w:hAnsi="Cambria"/>
          <w:sz w:val="24"/>
          <w:lang w:val="en-US" w:eastAsia="ja-JP"/>
        </w:rPr>
      </w:pPr>
      <w:r>
        <w:rPr/>
        <w:t>7.</w:t>
      </w:r>
      <w:r>
        <w:rPr>
          <w:rFonts w:ascii="Cambria" w:hAnsi="Cambria"/>
          <w:sz w:val="24"/>
          <w:lang w:val="en-US" w:eastAsia="ja-JP"/>
        </w:rPr>
        <w:tab/>
      </w:r>
      <w:r>
        <w:rPr/>
        <w:t>Príloha č.1 – Základné pojmy</w:t>
        <w:tab/>
        <w:t>17</w:t>
      </w:r>
    </w:p>
    <w:p>
      <w:pPr>
        <w:pStyle w:val="Normal"/>
        <w:rPr/>
      </w:pPr>
      <w:r>
        <w:rPr/>
      </w:r>
      <w:r>
        <w:fldChar w:fldCharType="end"/>
      </w:r>
    </w:p>
    <w:p>
      <w:pPr>
        <w:pStyle w:val="Normal"/>
        <w:rPr/>
      </w:pPr>
      <w:r>
        <w:rPr/>
      </w:r>
    </w:p>
    <w:p>
      <w:pPr>
        <w:pStyle w:val="Normal"/>
        <w:rPr/>
      </w:pPr>
      <w:r>
        <w:rPr/>
      </w:r>
    </w:p>
    <w:p>
      <w:pPr>
        <w:pStyle w:val="Normal"/>
        <w:rPr/>
      </w:pPr>
      <w:r>
        <w:rPr/>
      </w:r>
      <w:r>
        <w:br w:type="page"/>
      </w:r>
    </w:p>
    <w:p>
      <w:pPr>
        <w:pStyle w:val="Heading1"/>
        <w:numPr>
          <w:ilvl w:val="0"/>
          <w:numId w:val="8"/>
        </w:numPr>
        <w:rPr/>
      </w:pPr>
      <w:bookmarkStart w:id="4" w:name="_Toc367325027"/>
      <w:bookmarkEnd w:id="4"/>
      <w:r>
        <w:rPr/>
        <w:t>Úvod</w:t>
      </w:r>
    </w:p>
    <w:p>
      <w:pPr>
        <w:pStyle w:val="Heading2"/>
        <w:numPr>
          <w:ilvl w:val="1"/>
          <w:numId w:val="8"/>
        </w:numPr>
        <w:rPr/>
      </w:pPr>
      <w:bookmarkStart w:id="5" w:name="_Toc367325028"/>
      <w:bookmarkEnd w:id="5"/>
      <w:r>
        <w:rPr/>
        <w:t>Účel metodiky</w:t>
      </w:r>
    </w:p>
    <w:p>
      <w:pPr>
        <w:pStyle w:val="Normal"/>
        <w:rPr/>
      </w:pPr>
      <w:r>
        <w:rPr/>
        <w:t>Metodika k časovému harmonogramu vytvárania a sprístupňovania datasetov (ďalej len „metodika k časovému harmonogramu“) je určená všetkým povinným osobám, podľa zákona NR SR č.275/2006 Z.z. o informačných systémoch verejnej správy a o zmene a doplnení niektorých zákonov, ktoré majú povinnosť sprístupňovať dáta vo forme otvorených dát.</w:t>
      </w:r>
    </w:p>
    <w:p>
      <w:pPr>
        <w:pStyle w:val="Heading2"/>
        <w:numPr>
          <w:ilvl w:val="1"/>
          <w:numId w:val="8"/>
        </w:numPr>
        <w:rPr/>
      </w:pPr>
      <w:bookmarkStart w:id="6" w:name="_Toc367325029"/>
      <w:r>
        <w:rPr/>
        <w:t>Aktiv</w:t>
      </w:r>
      <w:del w:id="0" w:author="Miroslav Líška" w:date="2017-09-25T20:52:00Z">
        <w:r>
          <w:rPr/>
          <w:delText>í</w:delText>
        </w:r>
      </w:del>
      <w:ins w:id="1" w:author="Miroslav Líška" w:date="2017-09-25T20:52:00Z">
        <w:r>
          <w:rPr/>
          <w:t>i</w:t>
        </w:r>
      </w:ins>
      <w:bookmarkEnd w:id="6"/>
      <w:r>
        <w:rPr/>
        <w:t>ty</w:t>
      </w:r>
    </w:p>
    <w:p>
      <w:pPr>
        <w:pStyle w:val="Normal"/>
        <w:rPr/>
      </w:pPr>
      <w:r>
        <w:rPr/>
        <w:t>Pre sprístupňovanie otvorených dát sa povinná osoba pripraví na pravidelné a systematické publikovanie datasetov a ich aktualizácií. Metodika k časovému harmonogramu popisuje postupy na zjednodušenie a zefektívnenie práce spojenej s prípravou a plánovaním vytvárania a sprístupňovania datasetov.</w:t>
      </w:r>
    </w:p>
    <w:p>
      <w:pPr>
        <w:pStyle w:val="Normal"/>
        <w:rPr/>
      </w:pPr>
      <w:r>
        <w:rPr/>
        <w:t>Aktivity spojené s publikovaním otvorených dát sú podporené európskou smernicou 2013/37/EU o opakovanom použití informácií verejného sektora.</w:t>
      </w:r>
      <w:ins w:id="2" w:author="Miroslav Líška" w:date="2017-09-25T20:49:00Z">
        <w:r>
          <w:rPr/>
          <w:t xml:space="preserve"> Konkrétne sa jedná o implementáciu odporučaní a štandardov Európskej komisie programu ISA</w:t>
        </w:r>
      </w:ins>
      <w:ins w:id="3" w:author="Miroslav Líška" w:date="2017-09-25T20:49:00Z">
        <w:r>
          <w:rPr>
            <w:b/>
            <w:bCs/>
            <w:vertAlign w:val="superscript"/>
          </w:rPr>
          <w:t>2</w:t>
        </w:r>
      </w:ins>
      <w:ins w:id="4" w:author="Miroslav Líška" w:date="2017-09-25T20:49:00Z">
        <w:r>
          <w:rPr/>
          <w:t xml:space="preserve"> </w:t>
        </w:r>
      </w:ins>
      <w:ins w:id="5" w:author="Miroslav Líška" w:date="2017-09-25T20:51:00Z">
        <w:r>
          <w:rPr/>
          <w:t>Interoperability solutions for public administrations, businesses and citizens v podobe realizácie zhody centrálneho dátoveho modelu údajov VS so základnými znovapoužiteľnými dátových schémami Core Public Vocabularies a odporúčaní Centrálneho dátového portálu EÚ (European Data Portal) v dokumente Open Data Goldbook for Data Managers and Data Holders.</w:t>
        </w:r>
      </w:ins>
    </w:p>
    <w:p>
      <w:pPr>
        <w:pStyle w:val="Normal"/>
        <w:rPr/>
      </w:pPr>
      <w:ins w:id="6" w:author="Miroslav Líška" w:date="2017-09-25T20:49:00Z">
        <w:r>
          <w:rPr/>
          <w:t xml:space="preserve"> </w:t>
        </w:r>
      </w:ins>
    </w:p>
    <w:p>
      <w:pPr>
        <w:pStyle w:val="Normal"/>
        <w:rPr/>
      </w:pPr>
      <w:r>
        <w:rPr/>
        <w:t>Metodika k časovému harmonogramu vytvárania a sprístupňovania datasetov je vypracovaná na základe uznesenia vlády SR č.346/2017 k Stratégii a akčnému plánu sprístupnenia a používania otvorených údajov verejnej správy.</w:t>
      </w:r>
    </w:p>
    <w:p>
      <w:pPr>
        <w:pStyle w:val="Normal"/>
        <w:rPr/>
      </w:pPr>
      <w:r>
        <w:rPr/>
        <w:t xml:space="preserve">Povinná osoba si musí naplánovať plnenie nasledujúcich aktivít, aby mohla vypracovať </w:t>
      </w:r>
      <w:r>
        <w:rPr>
          <w:rFonts w:cs="Arial"/>
          <w:szCs w:val="22"/>
        </w:rPr>
        <w:t>časový harmonogram vytvárania a sprístupňovania datasetov</w:t>
      </w:r>
      <w:r>
        <w:rPr/>
        <w:t>:</w:t>
      </w:r>
    </w:p>
    <w:p>
      <w:pPr>
        <w:pStyle w:val="Normal"/>
        <w:rPr/>
      </w:pPr>
      <w:r>
        <w:rPr/>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7" w:type="dxa"/>
          <w:left w:w="103" w:type="dxa"/>
          <w:bottom w:w="57" w:type="dxa"/>
          <w:right w:w="108" w:type="dxa"/>
        </w:tblCellMar>
        <w:tblLook w:val="01e0" w:noVBand="0" w:noHBand="0" w:lastColumn="1" w:firstColumn="1" w:lastRow="1" w:firstRow="1"/>
      </w:tblPr>
      <w:tblGrid>
        <w:gridCol w:w="1311"/>
        <w:gridCol w:w="3880"/>
        <w:gridCol w:w="1390"/>
        <w:gridCol w:w="1565"/>
        <w:gridCol w:w="1492"/>
      </w:tblGrid>
      <w:tr>
        <w:trPr>
          <w:tblHeader w:val="true"/>
          <w:trHeight w:val="363" w:hRule="atLeast"/>
        </w:trPr>
        <w:tc>
          <w:tcPr>
            <w:tcW w:w="13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6EA5C4" w:val="clear"/>
            <w:tcMar>
              <w:left w:w="103" w:type="dxa"/>
            </w:tcMar>
            <w:vAlign w:val="center"/>
          </w:tcPr>
          <w:p>
            <w:pPr>
              <w:pStyle w:val="TextBody"/>
              <w:spacing w:before="0" w:after="0"/>
              <w:rPr>
                <w:rFonts w:ascii="Arial" w:hAnsi="Arial" w:cs="Arial"/>
                <w:b/>
                <w:b/>
                <w:color w:val="FFFFFF"/>
                <w:sz w:val="24"/>
                <w:szCs w:val="22"/>
                <w:lang w:val="sk-SK"/>
              </w:rPr>
            </w:pPr>
            <w:r>
              <w:rPr>
                <w:rFonts w:cs="Arial" w:ascii="Arial" w:hAnsi="Arial"/>
                <w:b/>
                <w:color w:val="FFFFFF"/>
                <w:sz w:val="24"/>
                <w:szCs w:val="22"/>
                <w:lang w:val="sk-SK"/>
              </w:rPr>
              <w:t>Aktivita</w:t>
            </w:r>
          </w:p>
        </w:tc>
        <w:tc>
          <w:tcPr>
            <w:tcW w:w="38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6EA5C4" w:val="clear"/>
            <w:tcMar>
              <w:left w:w="103" w:type="dxa"/>
            </w:tcMar>
            <w:vAlign w:val="center"/>
          </w:tcPr>
          <w:p>
            <w:pPr>
              <w:pStyle w:val="TextBody"/>
              <w:spacing w:before="0" w:after="0"/>
              <w:jc w:val="center"/>
              <w:rPr>
                <w:rFonts w:ascii="Arial" w:hAnsi="Arial" w:cs="Arial"/>
                <w:b/>
                <w:b/>
                <w:color w:val="FFFFFF"/>
                <w:sz w:val="24"/>
                <w:szCs w:val="22"/>
                <w:lang w:val="sk-SK"/>
              </w:rPr>
            </w:pPr>
            <w:r>
              <w:rPr>
                <w:rFonts w:cs="Arial" w:ascii="Arial" w:hAnsi="Arial"/>
                <w:b/>
                <w:color w:val="FFFFFF"/>
                <w:sz w:val="24"/>
                <w:szCs w:val="22"/>
                <w:lang w:val="sk-SK"/>
              </w:rPr>
              <w:t>Popis aktivity</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6EA5C4" w:val="clear"/>
            <w:tcMar>
              <w:left w:w="103" w:type="dxa"/>
            </w:tcMar>
          </w:tcPr>
          <w:p>
            <w:pPr>
              <w:pStyle w:val="TextBody"/>
              <w:spacing w:before="0" w:after="0"/>
              <w:jc w:val="center"/>
              <w:rPr>
                <w:rFonts w:ascii="Arial" w:hAnsi="Arial" w:cs="Arial"/>
                <w:b/>
                <w:b/>
                <w:color w:val="FFFFFF"/>
                <w:sz w:val="24"/>
                <w:szCs w:val="22"/>
                <w:lang w:val="sk-SK"/>
              </w:rPr>
            </w:pPr>
            <w:r>
              <w:rPr>
                <w:rFonts w:cs="Arial" w:ascii="Arial" w:hAnsi="Arial"/>
                <w:b/>
                <w:color w:val="FFFFFF"/>
                <w:sz w:val="24"/>
                <w:szCs w:val="22"/>
                <w:lang w:val="sk-SK"/>
              </w:rPr>
              <w:t>Kapitola</w:t>
            </w:r>
          </w:p>
        </w:tc>
        <w:tc>
          <w:tcPr>
            <w:tcW w:w="1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6EA5C4" w:val="clear"/>
            <w:tcMar>
              <w:left w:w="103" w:type="dxa"/>
            </w:tcMar>
          </w:tcPr>
          <w:p>
            <w:pPr>
              <w:pStyle w:val="TextBody"/>
              <w:spacing w:before="0" w:after="0"/>
              <w:jc w:val="center"/>
              <w:rPr>
                <w:rFonts w:ascii="Arial" w:hAnsi="Arial" w:cs="Arial"/>
                <w:b/>
                <w:b/>
                <w:color w:val="FFFFFF"/>
                <w:sz w:val="24"/>
                <w:szCs w:val="22"/>
                <w:lang w:val="sk-SK"/>
              </w:rPr>
            </w:pPr>
            <w:r>
              <w:rPr>
                <w:rFonts w:cs="Arial" w:ascii="Arial" w:hAnsi="Arial"/>
                <w:b/>
                <w:color w:val="FFFFFF"/>
                <w:sz w:val="24"/>
                <w:szCs w:val="22"/>
                <w:lang w:val="sk-SK"/>
              </w:rPr>
              <w:t>Termín</w:t>
            </w:r>
          </w:p>
        </w:tc>
        <w:tc>
          <w:tcPr>
            <w:tcW w:w="1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6EA5C4" w:val="clear"/>
            <w:tcMar>
              <w:left w:w="103" w:type="dxa"/>
            </w:tcMar>
          </w:tcPr>
          <w:p>
            <w:pPr>
              <w:pStyle w:val="TextBody"/>
              <w:spacing w:before="0" w:after="0"/>
              <w:jc w:val="center"/>
              <w:rPr>
                <w:rFonts w:ascii="Arial" w:hAnsi="Arial" w:cs="Arial"/>
                <w:b/>
                <w:b/>
                <w:color w:val="FFFFFF"/>
                <w:sz w:val="24"/>
                <w:szCs w:val="22"/>
                <w:lang w:val="sk-SK"/>
              </w:rPr>
            </w:pPr>
            <w:r>
              <w:rPr>
                <w:rFonts w:cs="Arial" w:ascii="Arial" w:hAnsi="Arial"/>
                <w:b/>
                <w:color w:val="FFFFFF"/>
                <w:sz w:val="24"/>
                <w:szCs w:val="22"/>
                <w:lang w:val="sk-SK"/>
              </w:rPr>
              <w:t>Vykonaná</w:t>
            </w:r>
          </w:p>
        </w:tc>
      </w:tr>
      <w:tr>
        <w:trPr>
          <w:trHeight w:val="283" w:hRule="atLeast"/>
          <w:cantSplit w:val="true"/>
        </w:trPr>
        <w:tc>
          <w:tcPr>
            <w:tcW w:w="131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Identifiko-vanie datasetov</w:t>
            </w:r>
          </w:p>
        </w:tc>
        <w:tc>
          <w:tcPr>
            <w:tcW w:w="38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Povinná osoba vykoná analýzu dostupných dátových zdrojov</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r>
      <w:tr>
        <w:trPr>
          <w:trHeight w:val="283" w:hRule="atLeast"/>
          <w:cantSplit w:val="true"/>
        </w:trPr>
        <w:tc>
          <w:tcPr>
            <w:tcW w:w="13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38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Povinná osoba identifikuje datasety pre zverejnenie</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r>
      <w:tr>
        <w:trPr>
          <w:trHeight w:val="283" w:hRule="atLeast"/>
          <w:cantSplit w:val="true"/>
        </w:trPr>
        <w:tc>
          <w:tcPr>
            <w:tcW w:w="13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38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Povinná osoba identifikuje údaje, ktoré sú vylúčené z povinnosti zverejnenia</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r>
      <w:tr>
        <w:trPr>
          <w:trHeight w:val="283" w:hRule="atLeast"/>
          <w:cantSplit w:val="true"/>
        </w:trPr>
        <w:tc>
          <w:tcPr>
            <w:tcW w:w="13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38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Povinná osoba stanoví náročnosti zverejnenia jednotlivých datasetov</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r>
      <w:tr>
        <w:trPr>
          <w:trHeight w:val="283" w:hRule="atLeast"/>
          <w:cantSplit w:val="true"/>
        </w:trPr>
        <w:tc>
          <w:tcPr>
            <w:tcW w:w="13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38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Povinná osoba stanoví priority pre zverejnenie datasetov</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r>
      <w:tr>
        <w:trPr>
          <w:trHeight w:val="283" w:hRule="atLeast"/>
          <w:cantSplit w:val="true"/>
        </w:trPr>
        <w:tc>
          <w:tcPr>
            <w:tcW w:w="13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Register rizík</w:t>
            </w:r>
          </w:p>
        </w:tc>
        <w:tc>
          <w:tcPr>
            <w:tcW w:w="38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Povinná osoba vypracuje Register rizík pre riadenie rizík v oblasti zverejňovania údajov a pre dohľad nad ochranou osobných údajov a utajovaných skutočností.</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r>
      <w:tr>
        <w:trPr>
          <w:trHeight w:val="283" w:hRule="atLeast"/>
          <w:cantSplit w:val="true"/>
        </w:trPr>
        <w:tc>
          <w:tcPr>
            <w:tcW w:w="13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Plán zverej-ňovania datasetov</w:t>
            </w:r>
          </w:p>
        </w:tc>
        <w:tc>
          <w:tcPr>
            <w:tcW w:w="38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z w:val="20"/>
                <w:szCs w:val="22"/>
                <w:lang w:val="sk-SK"/>
              </w:rPr>
            </w:pPr>
            <w:r>
              <w:rPr>
                <w:rFonts w:cs="Arial" w:ascii="Arial" w:hAnsi="Arial"/>
                <w:sz w:val="20"/>
                <w:szCs w:val="22"/>
                <w:lang w:val="sk-SK"/>
              </w:rPr>
              <w:t>Povinná osoba vypracuje časový harmonogram vytvárania a sprístupňovania datasetov.</w:t>
            </w:r>
          </w:p>
        </w:tc>
        <w:tc>
          <w:tcPr>
            <w:tcW w:w="13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c>
          <w:tcPr>
            <w:tcW w:w="1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z w:val="20"/>
                <w:szCs w:val="22"/>
                <w:lang w:val="sk-SK"/>
              </w:rPr>
            </w:pPr>
            <w:r>
              <w:rPr>
                <w:rFonts w:cs="Arial" w:ascii="Arial" w:hAnsi="Arial"/>
                <w:sz w:val="20"/>
                <w:szCs w:val="22"/>
                <w:lang w:val="sk-SK"/>
              </w:rPr>
            </w:r>
          </w:p>
        </w:tc>
      </w:tr>
    </w:tbl>
    <w:p>
      <w:pPr>
        <w:pStyle w:val="Normal"/>
        <w:rPr/>
      </w:pPr>
      <w:r>
        <w:rPr/>
      </w:r>
    </w:p>
    <w:p>
      <w:pPr>
        <w:pStyle w:val="Normal"/>
        <w:rPr/>
      </w:pPr>
      <w:r>
        <w:rPr/>
        <w:t xml:space="preserve">Povinná osoba vypracuje a zverejní, v Centrálnom katalógu otvorených dát, </w:t>
      </w:r>
      <w:r>
        <w:rPr>
          <w:rFonts w:cs="Arial"/>
          <w:szCs w:val="22"/>
        </w:rPr>
        <w:t>každý rok do 31. decembra časový harmonogram vytvárania a sprístupňovania datasetov na ďalší kalendárny rok vo forme datasetu (úloha B.13 z uznesenia vlády SR č.346/2017).</w:t>
      </w:r>
    </w:p>
    <w:p>
      <w:pPr>
        <w:pStyle w:val="Normal"/>
        <w:rPr/>
      </w:pPr>
      <w:r>
        <w:rPr/>
      </w:r>
      <w:r>
        <w:br w:type="page"/>
      </w:r>
    </w:p>
    <w:p>
      <w:pPr>
        <w:pStyle w:val="Heading1"/>
        <w:numPr>
          <w:ilvl w:val="0"/>
          <w:numId w:val="8"/>
        </w:numPr>
        <w:rPr/>
      </w:pPr>
      <w:bookmarkStart w:id="7" w:name="_Ref423524151"/>
      <w:bookmarkStart w:id="8" w:name="_Toc367306466"/>
      <w:bookmarkStart w:id="9" w:name="_Toc367308142"/>
      <w:bookmarkStart w:id="10" w:name="_Toc367325030"/>
      <w:bookmarkEnd w:id="7"/>
      <w:bookmarkEnd w:id="8"/>
      <w:bookmarkEnd w:id="9"/>
      <w:bookmarkEnd w:id="10"/>
      <w:r>
        <w:rPr/>
        <w:t>Identifikovanie datasetov pre zverejnenie</w:t>
      </w:r>
    </w:p>
    <w:p>
      <w:pPr>
        <w:pStyle w:val="06Normal"/>
        <w:rPr>
          <w:rFonts w:eastAsia="Arial Unicode MS"/>
        </w:rPr>
      </w:pPr>
      <w:r>
        <w:rPr>
          <w:rFonts w:eastAsia="Arial Unicode MS"/>
        </w:rPr>
        <w:t>Identifikovanie datasetov pre zverejnenie má byť vykonané v štyroch krokoch:</w:t>
      </w:r>
    </w:p>
    <w:p>
      <w:pPr>
        <w:pStyle w:val="08Bullet1"/>
        <w:numPr>
          <w:ilvl w:val="0"/>
          <w:numId w:val="5"/>
        </w:numPr>
        <w:rPr>
          <w:rFonts w:eastAsia="Arial Unicode MS"/>
        </w:rPr>
      </w:pPr>
      <w:r>
        <w:rPr>
          <w:rFonts w:eastAsia="Arial Unicode MS"/>
        </w:rPr>
        <w:t>Analýza dostupných zdrojov;</w:t>
      </w:r>
    </w:p>
    <w:p>
      <w:pPr>
        <w:pStyle w:val="08Bullet1"/>
        <w:numPr>
          <w:ilvl w:val="0"/>
          <w:numId w:val="5"/>
        </w:numPr>
        <w:rPr>
          <w:rFonts w:eastAsia="Arial Unicode MS"/>
        </w:rPr>
      </w:pPr>
      <w:r>
        <w:rPr>
          <w:rFonts w:eastAsia="Arial Unicode MS"/>
        </w:rPr>
        <w:t>Identifikácia vhodných datasetov pre zverejnenie;</w:t>
      </w:r>
    </w:p>
    <w:p>
      <w:pPr>
        <w:pStyle w:val="08Bullet1"/>
        <w:numPr>
          <w:ilvl w:val="0"/>
          <w:numId w:val="5"/>
        </w:numPr>
        <w:rPr>
          <w:rFonts w:eastAsia="Arial Unicode MS"/>
        </w:rPr>
      </w:pPr>
      <w:r>
        <w:rPr>
          <w:rFonts w:eastAsia="Arial Unicode MS"/>
        </w:rPr>
        <w:t>Stanovenie náročnosti zverejnenia jednotlivých datasetov;</w:t>
      </w:r>
    </w:p>
    <w:p>
      <w:pPr>
        <w:pStyle w:val="08Bullet1"/>
        <w:numPr>
          <w:ilvl w:val="0"/>
          <w:numId w:val="5"/>
        </w:numPr>
        <w:rPr>
          <w:rFonts w:eastAsia="Arial Unicode MS"/>
        </w:rPr>
      </w:pPr>
      <w:r>
        <w:rPr>
          <w:rFonts w:eastAsia="Arial Unicode MS"/>
        </w:rPr>
        <w:t>Stanovenie priorít pre zverejnenie datasetov.</w:t>
      </w:r>
    </w:p>
    <w:p>
      <w:pPr>
        <w:pStyle w:val="Caption1"/>
        <w:rPr/>
      </w:pPr>
      <w:r>
        <w:rPr/>
      </w:r>
    </w:p>
    <w:p>
      <w:pPr>
        <w:pStyle w:val="Caption1"/>
        <w:rPr/>
      </w:pPr>
      <w:r>
        <w:rPr/>
        <w:t>Identifikovanie datasetov pre zverejnenie</w:t>
      </w:r>
    </w:p>
    <w:p>
      <w:pPr>
        <w:pStyle w:val="06Normal"/>
        <w:rPr>
          <w:rFonts w:eastAsia="Arial Unicode MS"/>
        </w:rPr>
      </w:pPr>
      <w:r>
        <w:rPr/>
        <w:drawing>
          <wp:inline distT="0" distB="0" distL="0" distR="0">
            <wp:extent cx="5301615" cy="1280795"/>
            <wp:effectExtent l="0" t="0" r="0" b="0"/>
            <wp:docPr id="1" name="Pictur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descr=""/>
                    <pic:cNvPicPr>
                      <a:picLocks noChangeAspect="1" noChangeArrowheads="1"/>
                    </pic:cNvPicPr>
                  </pic:nvPicPr>
                  <pic:blipFill>
                    <a:blip r:embed="rId2"/>
                    <a:stretch>
                      <a:fillRect/>
                    </a:stretch>
                  </pic:blipFill>
                  <pic:spPr bwMode="auto">
                    <a:xfrm>
                      <a:off x="0" y="0"/>
                      <a:ext cx="5301615" cy="1280795"/>
                    </a:xfrm>
                    <a:prstGeom prst="rect">
                      <a:avLst/>
                    </a:prstGeom>
                  </pic:spPr>
                </pic:pic>
              </a:graphicData>
            </a:graphic>
          </wp:inline>
        </w:drawing>
      </w:r>
    </w:p>
    <w:p>
      <w:pPr>
        <w:pStyle w:val="Heading2"/>
        <w:numPr>
          <w:ilvl w:val="1"/>
          <w:numId w:val="8"/>
        </w:numPr>
        <w:rPr/>
      </w:pPr>
      <w:bookmarkStart w:id="11" w:name="_Ref422137903"/>
      <w:bookmarkStart w:id="12" w:name="_Toc367306467"/>
      <w:bookmarkStart w:id="13" w:name="_Toc367308143"/>
      <w:bookmarkStart w:id="14" w:name="_Toc367325031"/>
      <w:bookmarkStart w:id="15" w:name="_Toc422147905"/>
      <w:bookmarkStart w:id="16" w:name="_Toc422147906"/>
      <w:bookmarkStart w:id="17" w:name="_Toc422147907"/>
      <w:bookmarkStart w:id="18" w:name="_Toc422147908"/>
      <w:bookmarkStart w:id="19" w:name="_Toc422147909"/>
      <w:bookmarkStart w:id="20" w:name="_Toc404707574"/>
      <w:bookmarkEnd w:id="11"/>
      <w:bookmarkEnd w:id="12"/>
      <w:bookmarkEnd w:id="13"/>
      <w:bookmarkEnd w:id="14"/>
      <w:bookmarkEnd w:id="15"/>
      <w:bookmarkEnd w:id="16"/>
      <w:bookmarkEnd w:id="17"/>
      <w:bookmarkEnd w:id="18"/>
      <w:bookmarkEnd w:id="19"/>
      <w:bookmarkEnd w:id="20"/>
      <w:r>
        <w:rPr/>
        <w:t>Analýza dostupných dátových zdrojov</w:t>
      </w:r>
    </w:p>
    <w:p>
      <w:pPr>
        <w:pStyle w:val="06Normal"/>
        <w:rPr>
          <w:rFonts w:eastAsia="Arial Unicode MS"/>
        </w:rPr>
      </w:pPr>
      <w:r>
        <w:rPr>
          <w:rFonts w:eastAsia="Arial Unicode MS"/>
        </w:rPr>
        <w:t xml:space="preserve">Vytvorenie </w:t>
      </w:r>
      <w:r>
        <w:rPr>
          <w:rFonts w:cs="Arial"/>
          <w:szCs w:val="22"/>
        </w:rPr>
        <w:t>časového harmonogramu vytvárania a sprístupňovania datasetov</w:t>
      </w:r>
      <w:r>
        <w:rPr>
          <w:rFonts w:eastAsia="Arial Unicode MS"/>
        </w:rPr>
        <w:t xml:space="preserve"> začína analýzou dátových zdrojov spravovaných povinnou osobou a identifikovaním potenciálnych datasetov na základe obsahu dátových zdrojov.</w:t>
      </w:r>
    </w:p>
    <w:p>
      <w:pPr>
        <w:pStyle w:val="12Caption"/>
        <w:rPr/>
      </w:pPr>
      <w:r>
        <w:rPr/>
        <w:t>Analýza dostupných zdrojov</w:t>
      </w:r>
    </w:p>
    <w:p>
      <w:pPr>
        <w:pStyle w:val="06Normal"/>
        <w:rPr>
          <w:rFonts w:eastAsia="Arial Unicode MS"/>
        </w:rPr>
      </w:pPr>
      <w:r>
        <w:rPr/>
        <w:drawing>
          <wp:inline distT="0" distB="0" distL="0" distR="0">
            <wp:extent cx="5393055" cy="2393315"/>
            <wp:effectExtent l="0" t="0" r="0" b="0"/>
            <wp:docPr id="2"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
                    <pic:cNvPicPr>
                      <a:picLocks noChangeAspect="1" noChangeArrowheads="1"/>
                    </pic:cNvPicPr>
                  </pic:nvPicPr>
                  <pic:blipFill>
                    <a:blip r:embed="rId3"/>
                    <a:stretch>
                      <a:fillRect/>
                    </a:stretch>
                  </pic:blipFill>
                  <pic:spPr bwMode="auto">
                    <a:xfrm>
                      <a:off x="0" y="0"/>
                      <a:ext cx="5393055" cy="2393315"/>
                    </a:xfrm>
                    <a:prstGeom prst="rect">
                      <a:avLst/>
                    </a:prstGeom>
                  </pic:spPr>
                </pic:pic>
              </a:graphicData>
            </a:graphic>
          </wp:inline>
        </w:drawing>
      </w:r>
    </w:p>
    <w:p>
      <w:pPr>
        <w:pStyle w:val="06Normal"/>
        <w:rPr>
          <w:rFonts w:eastAsia="Arial Unicode MS"/>
        </w:rPr>
      </w:pPr>
      <w:r>
        <w:rPr>
          <w:rFonts w:eastAsia="Arial Unicode MS"/>
        </w:rPr>
        <w:t>Povinná osoba v rámci identifikovania dostupných zdrojov uskutoční nasledujúce kroky:</w:t>
      </w:r>
    </w:p>
    <w:p>
      <w:pPr>
        <w:pStyle w:val="08Bullet1"/>
        <w:numPr>
          <w:ilvl w:val="0"/>
          <w:numId w:val="2"/>
        </w:numPr>
        <w:rPr>
          <w:rFonts w:eastAsia="Arial Unicode MS"/>
        </w:rPr>
      </w:pPr>
      <w:r>
        <w:rPr>
          <w:rFonts w:eastAsia="Arial Unicode MS"/>
        </w:rPr>
        <w:t>Analýzu organizačnej štruktúry povinnej osoby a jej bežných agend:</w:t>
      </w:r>
    </w:p>
    <w:p>
      <w:pPr>
        <w:pStyle w:val="09Bullet2"/>
        <w:numPr>
          <w:ilvl w:val="0"/>
          <w:numId w:val="3"/>
        </w:numPr>
        <w:ind w:left="714" w:hanging="357"/>
        <w:rPr>
          <w:rFonts w:eastAsia="Arial Unicode MS"/>
        </w:rPr>
      </w:pPr>
      <w:r>
        <w:rPr>
          <w:rFonts w:eastAsia="Arial Unicode MS"/>
        </w:rPr>
        <w:t>Identifikovanie aktivít jednotlivých organizačných jednotiek, ktoré sa zaoberajú zberom, tvorením alebo správou dát, alebo ktoré majú potenciál pre tvorbu datasetu;</w:t>
      </w:r>
    </w:p>
    <w:p>
      <w:pPr>
        <w:pStyle w:val="09Bullet2"/>
        <w:numPr>
          <w:ilvl w:val="0"/>
          <w:numId w:val="3"/>
        </w:numPr>
        <w:ind w:left="714" w:hanging="357"/>
        <w:rPr>
          <w:rFonts w:eastAsia="Arial Unicode MS"/>
        </w:rPr>
      </w:pPr>
      <w:r>
        <w:rPr>
          <w:rFonts w:eastAsia="Arial Unicode MS"/>
        </w:rPr>
        <w:t>Vytvorenie zoznamu potenciálnych datasetov, ktoré vznikajú pri identifikovaných aktivitách;</w:t>
      </w:r>
    </w:p>
    <w:p>
      <w:pPr>
        <w:pStyle w:val="08Bullet1"/>
        <w:numPr>
          <w:ilvl w:val="0"/>
          <w:numId w:val="2"/>
        </w:numPr>
        <w:rPr>
          <w:rFonts w:eastAsia="Arial Unicode MS"/>
        </w:rPr>
      </w:pPr>
      <w:r>
        <w:rPr>
          <w:rFonts w:eastAsia="Arial Unicode MS"/>
        </w:rPr>
        <w:t>Analýzu výročných správ povinnej osoby a ďalších verejne publikovaných dokumentov (vrátane informácií publikovaných na webovom portáli povinnej osoby), ktoré informujú o aktivitách a výsledkoch fungovania povinnej osoby:</w:t>
      </w:r>
    </w:p>
    <w:p>
      <w:pPr>
        <w:pStyle w:val="09Bullet2"/>
        <w:numPr>
          <w:ilvl w:val="0"/>
          <w:numId w:val="3"/>
        </w:numPr>
        <w:ind w:left="714" w:hanging="357"/>
        <w:rPr>
          <w:rFonts w:eastAsia="Arial Unicode MS"/>
        </w:rPr>
      </w:pPr>
      <w:r>
        <w:rPr>
          <w:rFonts w:eastAsia="Arial Unicode MS"/>
        </w:rPr>
        <w:t>Identifikovanie tabuliek a grafov v dokumentoch, ktoré informujú o potenciálnych datasetoch.</w:t>
      </w:r>
    </w:p>
    <w:p>
      <w:pPr>
        <w:pStyle w:val="09Bullet2"/>
        <w:numPr>
          <w:ilvl w:val="0"/>
          <w:numId w:val="3"/>
        </w:numPr>
        <w:ind w:left="714" w:hanging="357"/>
        <w:rPr>
          <w:rFonts w:eastAsia="Arial Unicode MS"/>
        </w:rPr>
      </w:pPr>
      <w:r>
        <w:rPr>
          <w:rFonts w:eastAsia="Arial Unicode MS"/>
        </w:rPr>
        <w:t>Zistenie, ktoré organizačné jednotky pripravujú tieto dokumenty.</w:t>
      </w:r>
    </w:p>
    <w:p>
      <w:pPr>
        <w:pStyle w:val="09Bullet2"/>
        <w:numPr>
          <w:ilvl w:val="0"/>
          <w:numId w:val="3"/>
        </w:numPr>
        <w:ind w:left="714" w:hanging="357"/>
        <w:rPr>
          <w:rFonts w:eastAsia="Arial Unicode MS"/>
        </w:rPr>
      </w:pPr>
      <w:r>
        <w:rPr>
          <w:rFonts w:eastAsia="Arial Unicode MS"/>
        </w:rPr>
        <w:t>Pridanie identifikovaných potenciálnych datasetov do zoznamu.</w:t>
      </w:r>
    </w:p>
    <w:p>
      <w:pPr>
        <w:pStyle w:val="08Bullet1"/>
        <w:numPr>
          <w:ilvl w:val="0"/>
          <w:numId w:val="2"/>
        </w:numPr>
        <w:rPr>
          <w:rFonts w:eastAsia="Arial Unicode MS"/>
        </w:rPr>
      </w:pPr>
      <w:r>
        <w:rPr>
          <w:rFonts w:eastAsia="Arial Unicode MS"/>
        </w:rPr>
        <w:t>Identifikovanie informačných systémov v pôsobnosti povinnej osoby:</w:t>
      </w:r>
    </w:p>
    <w:p>
      <w:pPr>
        <w:pStyle w:val="09Bullet2"/>
        <w:numPr>
          <w:ilvl w:val="0"/>
          <w:numId w:val="3"/>
        </w:numPr>
        <w:ind w:left="714" w:hanging="357"/>
        <w:rPr>
          <w:rFonts w:eastAsia="Arial Unicode MS"/>
        </w:rPr>
      </w:pPr>
      <w:r>
        <w:rPr>
          <w:rFonts w:eastAsia="Arial Unicode MS"/>
        </w:rPr>
        <w:t>Identifikovanie potenciálnych datasetov v informačných systémoch povinnej osoby.</w:t>
      </w:r>
    </w:p>
    <w:p>
      <w:pPr>
        <w:pStyle w:val="09Bullet2"/>
        <w:numPr>
          <w:ilvl w:val="0"/>
          <w:numId w:val="3"/>
        </w:numPr>
        <w:ind w:left="714" w:hanging="357"/>
        <w:rPr>
          <w:rFonts w:eastAsia="Arial Unicode MS"/>
        </w:rPr>
      </w:pPr>
      <w:r>
        <w:rPr>
          <w:rFonts w:eastAsia="Arial Unicode MS"/>
        </w:rPr>
        <w:t>Pridanie týchto potenciálnych datasetov do zoznamu.</w:t>
      </w:r>
    </w:p>
    <w:p>
      <w:pPr>
        <w:pStyle w:val="08Bullet1"/>
        <w:numPr>
          <w:ilvl w:val="0"/>
          <w:numId w:val="2"/>
        </w:numPr>
        <w:rPr>
          <w:rFonts w:eastAsia="Arial Unicode MS"/>
        </w:rPr>
      </w:pPr>
      <w:r>
        <w:rPr>
          <w:rFonts w:eastAsia="Arial Unicode MS"/>
        </w:rPr>
        <w:t>Analýza požiadaviek verejnosti na zverejnenie informácií povinnou osobou:</w:t>
      </w:r>
    </w:p>
    <w:p>
      <w:pPr>
        <w:pStyle w:val="09Bullet2"/>
        <w:numPr>
          <w:ilvl w:val="0"/>
          <w:numId w:val="3"/>
        </w:numPr>
        <w:ind w:left="714" w:hanging="357"/>
        <w:rPr>
          <w:rFonts w:eastAsia="Arial Unicode MS"/>
        </w:rPr>
      </w:pPr>
      <w:r>
        <w:rPr>
          <w:rFonts w:eastAsia="Arial Unicode MS"/>
        </w:rPr>
        <w:t xml:space="preserve">Identifikovanie datasetov, ktorá by mohli byť zaujímavé pre verejnosť a porovnanie ich s datasetmi identifikovanými v predošlých krokoch. </w:t>
      </w:r>
    </w:p>
    <w:p>
      <w:pPr>
        <w:pStyle w:val="09Bullet2"/>
        <w:numPr>
          <w:ilvl w:val="0"/>
          <w:numId w:val="3"/>
        </w:numPr>
        <w:ind w:left="714" w:hanging="357"/>
        <w:rPr>
          <w:rFonts w:eastAsia="Arial Unicode MS"/>
        </w:rPr>
      </w:pPr>
      <w:r>
        <w:rPr>
          <w:rFonts w:eastAsia="Arial Unicode MS"/>
        </w:rPr>
        <w:t>Pridanie nových potenciálnych datasetov do zoznamu, pričom povinná osoba zohľadní aj výzvy dátového kurátora, ktorý hodnotí žiadosti verejnosti na zverejnenie nového datasetu.</w:t>
      </w:r>
    </w:p>
    <w:p>
      <w:pPr>
        <w:pStyle w:val="08Bullet1"/>
        <w:numPr>
          <w:ilvl w:val="0"/>
          <w:numId w:val="2"/>
        </w:numPr>
        <w:rPr>
          <w:rFonts w:eastAsia="Arial Unicode MS"/>
        </w:rPr>
      </w:pPr>
      <w:r>
        <w:rPr>
          <w:rFonts w:eastAsia="Arial Unicode MS"/>
          <w:b/>
        </w:rPr>
        <w:t>Vytvorenie mapy</w:t>
      </w:r>
      <w:r>
        <w:rPr>
          <w:rFonts w:eastAsia="Arial Unicode MS"/>
        </w:rPr>
        <w:t xml:space="preserve"> </w:t>
      </w:r>
      <w:r>
        <w:rPr>
          <w:rFonts w:eastAsia="Arial Unicode MS"/>
          <w:b/>
        </w:rPr>
        <w:t>datasetov</w:t>
      </w:r>
      <w:r>
        <w:rPr>
          <w:rFonts w:eastAsia="Arial Unicode MS"/>
        </w:rPr>
        <w:t xml:space="preserve">, ktorá zobrazuje organizačné jednotky a datasety, za ktoré sú zodpovedné. Mapa datasetov by mala byť zobrazená graficky. </w:t>
      </w:r>
    </w:p>
    <w:p>
      <w:pPr>
        <w:pStyle w:val="08Bullet1"/>
        <w:numPr>
          <w:ilvl w:val="0"/>
          <w:numId w:val="2"/>
        </w:numPr>
        <w:rPr>
          <w:rFonts w:eastAsia="Arial Unicode MS"/>
        </w:rPr>
      </w:pPr>
      <w:r>
        <w:rPr>
          <w:rFonts w:eastAsia="Arial Unicode MS"/>
        </w:rPr>
        <w:t>Diskusia nad mapou datasetov a identifikovanie datasetov so zodpovednými kontaktnými osobami.</w:t>
      </w:r>
    </w:p>
    <w:p>
      <w:pPr>
        <w:pStyle w:val="06Normal"/>
        <w:rPr>
          <w:rFonts w:eastAsia="Arial Unicode MS"/>
        </w:rPr>
      </w:pPr>
      <w:r>
        <w:rPr>
          <w:rFonts w:eastAsia="Arial Unicode MS"/>
        </w:rPr>
        <w:t>Pre každý identifikovaný dataset zachytený v mape datasetov si povinná osoba zaznamená nasledujúce informácie:</w:t>
      </w:r>
    </w:p>
    <w:p>
      <w:pPr>
        <w:pStyle w:val="08Bullet1"/>
        <w:numPr>
          <w:ilvl w:val="0"/>
          <w:numId w:val="2"/>
        </w:numPr>
        <w:rPr>
          <w:rFonts w:eastAsia="Arial Unicode MS"/>
        </w:rPr>
      </w:pPr>
      <w:r>
        <w:rPr>
          <w:rFonts w:eastAsia="Arial Unicode MS"/>
        </w:rPr>
        <w:t>Názov datasetu a jeho popis;</w:t>
      </w:r>
    </w:p>
    <w:p>
      <w:pPr>
        <w:pStyle w:val="08Bullet1"/>
        <w:numPr>
          <w:ilvl w:val="0"/>
          <w:numId w:val="2"/>
        </w:numPr>
        <w:rPr>
          <w:rFonts w:eastAsia="Arial Unicode MS"/>
        </w:rPr>
      </w:pPr>
      <w:r>
        <w:rPr>
          <w:rFonts w:eastAsia="Arial Unicode MS"/>
        </w:rPr>
        <w:t>Zodpovednú organizačnú jednotku povinnej osoby;</w:t>
      </w:r>
    </w:p>
    <w:p>
      <w:pPr>
        <w:pStyle w:val="08Bullet1"/>
        <w:numPr>
          <w:ilvl w:val="0"/>
          <w:numId w:val="2"/>
        </w:numPr>
        <w:rPr>
          <w:rFonts w:eastAsia="Arial Unicode MS"/>
        </w:rPr>
      </w:pPr>
      <w:r>
        <w:rPr>
          <w:rFonts w:eastAsia="Arial Unicode MS"/>
        </w:rPr>
        <w:t>Kontaktnú osobu pre konzultácie ohľadom datasetu;</w:t>
      </w:r>
    </w:p>
    <w:p>
      <w:pPr>
        <w:pStyle w:val="08Bullet1"/>
        <w:numPr>
          <w:ilvl w:val="0"/>
          <w:numId w:val="2"/>
        </w:numPr>
        <w:rPr>
          <w:rFonts w:eastAsia="Arial Unicode MS"/>
        </w:rPr>
      </w:pPr>
      <w:r>
        <w:rPr>
          <w:rFonts w:eastAsia="Arial Unicode MS"/>
        </w:rPr>
        <w:t>Súčasný formát dát (spôsob a formát uloženia datasetu) a krátky popis jeho formátu.</w:t>
      </w:r>
    </w:p>
    <w:p>
      <w:pPr>
        <w:pStyle w:val="08Bullet1"/>
        <w:rPr>
          <w:rFonts w:eastAsia="Arial Unicode MS"/>
        </w:rPr>
      </w:pPr>
      <w:r>
        <w:rPr>
          <w:rFonts w:eastAsia="Arial Unicode MS"/>
        </w:rPr>
        <w:t>Mapu datasetov sprístupní povinná osoba ako dataset v Centrálnom katalógu otvorených dát.</w:t>
      </w:r>
    </w:p>
    <w:p>
      <w:pPr>
        <w:pStyle w:val="Heading2"/>
        <w:numPr>
          <w:ilvl w:val="1"/>
          <w:numId w:val="8"/>
        </w:numPr>
        <w:rPr/>
      </w:pPr>
      <w:bookmarkStart w:id="21" w:name="_Ref406401359"/>
      <w:bookmarkStart w:id="22" w:name="_Ref406401362"/>
      <w:bookmarkStart w:id="23" w:name="_Ref413877561"/>
      <w:bookmarkStart w:id="24" w:name="_Toc367306468"/>
      <w:bookmarkStart w:id="25" w:name="_Toc367308144"/>
      <w:bookmarkStart w:id="26" w:name="_Toc367325032"/>
      <w:bookmarkEnd w:id="21"/>
      <w:bookmarkEnd w:id="22"/>
      <w:bookmarkEnd w:id="23"/>
      <w:bookmarkEnd w:id="24"/>
      <w:bookmarkEnd w:id="25"/>
      <w:bookmarkEnd w:id="26"/>
      <w:r>
        <w:rPr/>
        <w:t>Identifikovanie datasetov pre zverejnenie</w:t>
      </w:r>
    </w:p>
    <w:p>
      <w:pPr>
        <w:pStyle w:val="06Normal"/>
        <w:rPr>
          <w:rFonts w:eastAsia="Arial Unicode MS"/>
        </w:rPr>
      </w:pPr>
      <w:r>
        <w:rPr>
          <w:rFonts w:eastAsia="Arial Unicode MS"/>
        </w:rPr>
        <w:t xml:space="preserve">Po analýze dostupných zdrojov povinná osoba vytvorí zoznam datasetov pre zverejnenie. Mapa datasetov, ktorá bola vytvorená v predchádzajúcom kroku a ktorá znázorňuje graficky prepojenie dátových zdrojov, datasetov a zodpovedných organizačných jednotiek, a zoznam všetkých potenciálnych datasetov. slúžia ako vstup do procesu identifikácie datasetov vhodných pre zverejnenie. </w:t>
      </w:r>
    </w:p>
    <w:p>
      <w:pPr>
        <w:pStyle w:val="12Caption"/>
        <w:rPr/>
      </w:pPr>
      <w:r>
        <w:rPr/>
        <w:t>Identifikácia datasetov</w:t>
      </w:r>
    </w:p>
    <w:p>
      <w:pPr>
        <w:pStyle w:val="06Normal"/>
        <w:rPr>
          <w:rFonts w:eastAsia="Arial Unicode MS"/>
        </w:rPr>
      </w:pPr>
      <w:r>
        <w:rPr/>
        <w:drawing>
          <wp:inline distT="0" distB="0" distL="0" distR="0">
            <wp:extent cx="5393055" cy="2393315"/>
            <wp:effectExtent l="0" t="0" r="0" b="0"/>
            <wp:docPr id="3" name="Pictur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1" descr=""/>
                    <pic:cNvPicPr>
                      <a:picLocks noChangeAspect="1" noChangeArrowheads="1"/>
                    </pic:cNvPicPr>
                  </pic:nvPicPr>
                  <pic:blipFill>
                    <a:blip r:embed="rId4"/>
                    <a:stretch>
                      <a:fillRect/>
                    </a:stretch>
                  </pic:blipFill>
                  <pic:spPr bwMode="auto">
                    <a:xfrm>
                      <a:off x="0" y="0"/>
                      <a:ext cx="5393055" cy="2393315"/>
                    </a:xfrm>
                    <a:prstGeom prst="rect">
                      <a:avLst/>
                    </a:prstGeom>
                  </pic:spPr>
                </pic:pic>
              </a:graphicData>
            </a:graphic>
          </wp:inline>
        </w:drawing>
      </w:r>
    </w:p>
    <w:p>
      <w:pPr>
        <w:pStyle w:val="08Bullet1"/>
        <w:ind w:left="0" w:hanging="0"/>
        <w:rPr>
          <w:rFonts w:eastAsia="Arial Unicode MS"/>
        </w:rPr>
      </w:pPr>
      <w:r>
        <w:rPr>
          <w:rFonts w:eastAsia="Arial Unicode MS"/>
        </w:rPr>
        <w:t>Obsah datasetov, ktoré budú zverejnené, musí byť v súlade s:</w:t>
      </w:r>
    </w:p>
    <w:p>
      <w:pPr>
        <w:pStyle w:val="08Bullet1"/>
        <w:numPr>
          <w:ilvl w:val="0"/>
          <w:numId w:val="2"/>
        </w:numPr>
        <w:rPr>
          <w:rFonts w:eastAsia="Arial Unicode MS"/>
        </w:rPr>
      </w:pPr>
      <w:r>
        <w:rPr>
          <w:rFonts w:eastAsia="Arial Unicode MS"/>
        </w:rPr>
        <w:t>rozhodnutím vlastníka datasetu, ktorý definuje primárne datasety pre zverejnenie;</w:t>
      </w:r>
    </w:p>
    <w:p>
      <w:pPr>
        <w:pStyle w:val="08Bullet1"/>
        <w:numPr>
          <w:ilvl w:val="0"/>
          <w:numId w:val="2"/>
        </w:numPr>
        <w:rPr>
          <w:rFonts w:eastAsia="Arial Unicode MS"/>
        </w:rPr>
      </w:pPr>
      <w:r>
        <w:rPr>
          <w:rFonts w:eastAsia="Arial Unicode MS"/>
        </w:rPr>
        <w:t>právnymi normami;</w:t>
      </w:r>
    </w:p>
    <w:p>
      <w:pPr>
        <w:pStyle w:val="08Bullet1"/>
        <w:numPr>
          <w:ilvl w:val="0"/>
          <w:numId w:val="2"/>
        </w:numPr>
        <w:rPr>
          <w:rFonts w:eastAsia="Arial Unicode MS"/>
        </w:rPr>
      </w:pPr>
      <w:r>
        <w:rPr/>
        <w:t>Akčným plánom Iniciatívy pre otvorené vládnutie v SR</w:t>
      </w:r>
      <w:r>
        <w:rPr>
          <w:rFonts w:eastAsia="Arial Unicode MS"/>
        </w:rPr>
        <w:t>.</w:t>
      </w:r>
    </w:p>
    <w:p>
      <w:pPr>
        <w:pStyle w:val="08Bullet1"/>
        <w:numPr>
          <w:ilvl w:val="0"/>
          <w:numId w:val="2"/>
        </w:numPr>
        <w:rPr/>
      </w:pPr>
      <w:r>
        <w:rPr/>
        <w:t>uzneseniami vlády SR</w:t>
      </w:r>
    </w:p>
    <w:p>
      <w:pPr>
        <w:pStyle w:val="08Bullet1"/>
        <w:numPr>
          <w:ilvl w:val="0"/>
          <w:numId w:val="2"/>
        </w:numPr>
        <w:rPr/>
      </w:pPr>
      <w:ins w:id="7" w:author="Miroslav Líška" w:date="2017-09-25T21:01:00Z">
        <w:r>
          <w:rPr>
            <w:rFonts w:eastAsia="Arial Unicode MS"/>
          </w:rPr>
          <w:t>SP Otvorené údaje</w:t>
        </w:r>
      </w:ins>
    </w:p>
    <w:p>
      <w:pPr>
        <w:pStyle w:val="06Normal"/>
        <w:rPr>
          <w:rFonts w:eastAsia="Arial Unicode MS"/>
        </w:rPr>
      </w:pPr>
      <w:r>
        <w:rPr>
          <w:rFonts w:eastAsia="Arial Unicode MS"/>
        </w:rPr>
        <w:t>Príklady zaujímavých datasetov pre vybrané inštitúcie možno vidieť na obrázku nižšie.</w:t>
      </w:r>
    </w:p>
    <w:p>
      <w:pPr>
        <w:pStyle w:val="Caption1"/>
        <w:keepNext/>
        <w:jc w:val="both"/>
        <w:rPr/>
      </w:pPr>
      <w:r>
        <w:rPr/>
        <w:t>Príklady datasetov vybraných inštitúcií</w:t>
      </w:r>
    </w:p>
    <w:p>
      <w:pPr>
        <w:pStyle w:val="06Normal"/>
        <w:rPr>
          <w:rFonts w:eastAsia="Arial Unicode MS"/>
        </w:rPr>
      </w:pPr>
      <w:r>
        <w:rPr/>
        <w:drawing>
          <wp:inline distT="0" distB="0" distL="0" distR="0">
            <wp:extent cx="5387975" cy="4112895"/>
            <wp:effectExtent l="0" t="0" r="0" b="0"/>
            <wp:docPr id="4"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 descr=""/>
                    <pic:cNvPicPr>
                      <a:picLocks noChangeAspect="1" noChangeArrowheads="1"/>
                    </pic:cNvPicPr>
                  </pic:nvPicPr>
                  <pic:blipFill>
                    <a:blip r:embed="rId5"/>
                    <a:stretch>
                      <a:fillRect/>
                    </a:stretch>
                  </pic:blipFill>
                  <pic:spPr bwMode="auto">
                    <a:xfrm>
                      <a:off x="0" y="0"/>
                      <a:ext cx="5387975" cy="4112895"/>
                    </a:xfrm>
                    <a:prstGeom prst="rect">
                      <a:avLst/>
                    </a:prstGeom>
                  </pic:spPr>
                </pic:pic>
              </a:graphicData>
            </a:graphic>
          </wp:inline>
        </w:drawing>
      </w:r>
    </w:p>
    <w:p>
      <w:pPr>
        <w:pStyle w:val="06Normal"/>
        <w:rPr>
          <w:rFonts w:eastAsia="Arial Unicode MS"/>
        </w:rPr>
      </w:pPr>
      <w:r>
        <w:rPr>
          <w:rFonts w:eastAsia="Arial Unicode MS"/>
        </w:rPr>
        <w:t>Inšpiráciou môže byť aj výstup medzinárodného projektu COMSODE</w:t>
      </w:r>
      <w:r>
        <w:rPr>
          <w:rStyle w:val="FootnoteAnchor"/>
          <w:rFonts w:eastAsia="Arial Unicode MS"/>
        </w:rPr>
        <w:footnoteReference w:id="2"/>
      </w:r>
      <w:r>
        <w:rPr>
          <w:rFonts w:eastAsia="Arial Unicode MS"/>
        </w:rPr>
        <w:t>, ktorý sa snaží odstrániť bariéry pri zverejňovaní otvorených dát. V rámci Slovenskej republiky sa zaoberal 90 zaujímavými datasetmi v oblastiach znázornených na nasledujúcom obrázku. Pre jednotlivé datasety bola odhadnutá aj náročnosť ich publikovania.</w:t>
      </w:r>
    </w:p>
    <w:p>
      <w:pPr>
        <w:pStyle w:val="Caption1"/>
        <w:keepNext/>
        <w:jc w:val="both"/>
        <w:rPr/>
      </w:pPr>
      <w:r>
        <w:rPr/>
        <w:t xml:space="preserve">Obrázok </w:t>
      </w:r>
      <w:r>
        <w:rPr/>
        <w:fldChar w:fldCharType="begin"/>
      </w:r>
      <w:r>
        <w:instrText> SEQ Obrázok \* ARABIC </w:instrText>
      </w:r>
      <w:r>
        <w:fldChar w:fldCharType="separate"/>
      </w:r>
      <w:r>
        <w:t>1</w:t>
      </w:r>
      <w:r>
        <w:fldChar w:fldCharType="end"/>
      </w:r>
      <w:r>
        <w:rPr/>
        <w:t>: Inšpirácia pre identifikovanie datasetov</w:t>
      </w:r>
    </w:p>
    <w:p>
      <w:pPr>
        <w:pStyle w:val="06Normal"/>
        <w:rPr>
          <w:rFonts w:eastAsia="Arial Unicode MS"/>
        </w:rPr>
      </w:pPr>
      <w:r>
        <w:rPr/>
        <w:drawing>
          <wp:inline distT="0" distB="0" distL="0" distR="0">
            <wp:extent cx="5391785" cy="2924810"/>
            <wp:effectExtent l="0" t="0" r="0" b="0"/>
            <wp:docPr id="5"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descr=""/>
                    <pic:cNvPicPr>
                      <a:picLocks noChangeAspect="1" noChangeArrowheads="1"/>
                    </pic:cNvPicPr>
                  </pic:nvPicPr>
                  <pic:blipFill>
                    <a:blip r:embed="rId6"/>
                    <a:stretch>
                      <a:fillRect/>
                    </a:stretch>
                  </pic:blipFill>
                  <pic:spPr bwMode="auto">
                    <a:xfrm>
                      <a:off x="0" y="0"/>
                      <a:ext cx="5391785" cy="2924810"/>
                    </a:xfrm>
                    <a:prstGeom prst="rect">
                      <a:avLst/>
                    </a:prstGeom>
                  </pic:spPr>
                </pic:pic>
              </a:graphicData>
            </a:graphic>
          </wp:inline>
        </w:drawing>
      </w:r>
    </w:p>
    <w:p>
      <w:pPr>
        <w:pStyle w:val="06Normal"/>
        <w:rPr>
          <w:rFonts w:eastAsia="Arial Unicode MS"/>
        </w:rPr>
      </w:pPr>
      <w:r>
        <w:rPr>
          <w:rFonts w:eastAsia="Arial Unicode MS"/>
        </w:rPr>
        <w:t xml:space="preserve">Pre každý dataset v mape datasetov a zozname všetkých potenciálnych datasetov povinná osoba uvedie možnosť zverejnenia alebo nezverejnenia jeho údajov v podobe otvorených dát. </w:t>
      </w:r>
    </w:p>
    <w:p>
      <w:pPr>
        <w:pStyle w:val="06Normal"/>
        <w:rPr>
          <w:rFonts w:eastAsia="Arial Unicode MS"/>
        </w:rPr>
      </w:pPr>
      <w:r>
        <w:rPr>
          <w:rFonts w:eastAsia="Arial Unicode MS"/>
        </w:rPr>
        <w:t xml:space="preserve">Pre datasety v mape datasetov a zozname všetkých potenciálnych datasetov ktoré je možné zverejneniť povinná osoba uvedie dôvody pre </w:t>
      </w:r>
      <w:r>
        <w:rPr/>
        <w:t>uprednostnenie sprístupnenia daného datasetu</w:t>
      </w:r>
      <w:r>
        <w:rPr>
          <w:rFonts w:eastAsia="Arial Unicode MS"/>
        </w:rPr>
        <w:t xml:space="preserve">. Dôvody pre </w:t>
      </w:r>
      <w:r>
        <w:rPr/>
        <w:t>uprednostnenie sprístupnenia</w:t>
      </w:r>
      <w:r>
        <w:rPr>
          <w:rFonts w:eastAsia="Arial Unicode MS"/>
        </w:rPr>
        <w:t xml:space="preserve"> datasetu sa budú líšiť prípad od prípadu, ale vo väčšine prípadov možno uviesť ako hlavnú motiváciu pre zverejnenie datasetov nasledujúce dôvody</w:t>
      </w:r>
      <w:r>
        <w:rPr>
          <w:rStyle w:val="FootnoteAnchor"/>
          <w:rFonts w:eastAsia="Arial Unicode MS"/>
        </w:rPr>
        <w:footnoteReference w:id="3"/>
      </w:r>
      <w:r>
        <w:rPr>
          <w:rFonts w:eastAsia="Arial Unicode MS"/>
        </w:rPr>
        <w:t>:</w:t>
      </w:r>
    </w:p>
    <w:p>
      <w:pPr>
        <w:pStyle w:val="08Bullet1"/>
        <w:numPr>
          <w:ilvl w:val="0"/>
          <w:numId w:val="2"/>
        </w:numPr>
        <w:rPr>
          <w:rFonts w:eastAsia="Arial Unicode MS"/>
        </w:rPr>
      </w:pPr>
      <w:r>
        <w:rPr>
          <w:rFonts w:eastAsia="Arial Unicode MS"/>
        </w:rPr>
        <w:t>Zvýšenie transparentnosti;</w:t>
      </w:r>
    </w:p>
    <w:p>
      <w:pPr>
        <w:pStyle w:val="08Bullet1"/>
        <w:numPr>
          <w:ilvl w:val="0"/>
          <w:numId w:val="2"/>
        </w:numPr>
        <w:rPr>
          <w:rFonts w:eastAsia="Arial Unicode MS"/>
        </w:rPr>
      </w:pPr>
      <w:r>
        <w:rPr>
          <w:rFonts w:eastAsia="Arial Unicode MS"/>
        </w:rPr>
        <w:t>Stimulovanie ekonomického rastu;</w:t>
      </w:r>
    </w:p>
    <w:p>
      <w:pPr>
        <w:pStyle w:val="08Bullet1"/>
        <w:numPr>
          <w:ilvl w:val="0"/>
          <w:numId w:val="2"/>
        </w:numPr>
        <w:rPr>
          <w:rFonts w:eastAsia="Arial Unicode MS"/>
        </w:rPr>
      </w:pPr>
      <w:r>
        <w:rPr>
          <w:rFonts w:eastAsia="Arial Unicode MS"/>
        </w:rPr>
        <w:t>Zlepšenie vládnych služieb;</w:t>
      </w:r>
    </w:p>
    <w:p>
      <w:pPr>
        <w:pStyle w:val="08Bullet1"/>
        <w:numPr>
          <w:ilvl w:val="0"/>
          <w:numId w:val="2"/>
        </w:numPr>
        <w:rPr>
          <w:rFonts w:eastAsia="Arial Unicode MS"/>
        </w:rPr>
      </w:pPr>
      <w:r>
        <w:rPr>
          <w:rFonts w:eastAsia="Arial Unicode MS"/>
        </w:rPr>
        <w:t xml:space="preserve">Podpora </w:t>
      </w:r>
      <w:r>
        <w:rPr/>
        <w:t xml:space="preserve">opakovaného použitia dát </w:t>
      </w:r>
      <w:r>
        <w:rPr>
          <w:rFonts w:eastAsia="Arial Unicode MS"/>
        </w:rPr>
        <w:t>a komunít;</w:t>
      </w:r>
    </w:p>
    <w:p>
      <w:pPr>
        <w:pStyle w:val="08Bullet1"/>
        <w:numPr>
          <w:ilvl w:val="0"/>
          <w:numId w:val="2"/>
        </w:numPr>
        <w:rPr>
          <w:rFonts w:eastAsia="Arial Unicode MS"/>
        </w:rPr>
      </w:pPr>
      <w:r>
        <w:rPr>
          <w:rFonts w:eastAsia="Arial Unicode MS"/>
        </w:rPr>
        <w:t>Zlepšenie verejných vzťahov a postoja voči štátnej správe;</w:t>
      </w:r>
    </w:p>
    <w:p>
      <w:pPr>
        <w:pStyle w:val="08Bullet1"/>
        <w:numPr>
          <w:ilvl w:val="0"/>
          <w:numId w:val="2"/>
        </w:numPr>
        <w:rPr>
          <w:rFonts w:eastAsia="Arial Unicode MS"/>
        </w:rPr>
      </w:pPr>
      <w:r>
        <w:rPr>
          <w:rFonts w:eastAsia="Arial Unicode MS"/>
        </w:rPr>
        <w:t>Zlepšenie vládnych dát a procesov.</w:t>
      </w:r>
    </w:p>
    <w:p>
      <w:pPr>
        <w:pStyle w:val="06Normal"/>
        <w:rPr>
          <w:rFonts w:eastAsia="Arial Unicode MS"/>
        </w:rPr>
      </w:pPr>
      <w:r>
        <w:rPr>
          <w:rFonts w:eastAsia="Arial Unicode MS"/>
        </w:rPr>
        <w:t xml:space="preserve">Datasety, ktoré sú v súlade s motiváciou pre zverejnenie dát, alebo sú požadované od komunity používateľov údajov, alebo ktoré pomáhajú k dosiahnutiu strategických cieľov, sú vhodnými kandidátmi pre </w:t>
      </w:r>
      <w:r>
        <w:rPr>
          <w:rFonts w:eastAsia="Arial Unicode MS"/>
          <w:b/>
        </w:rPr>
        <w:t>prioritné</w:t>
      </w:r>
      <w:r>
        <w:rPr>
          <w:rFonts w:eastAsia="Arial Unicode MS"/>
        </w:rPr>
        <w:t xml:space="preserve"> zverejnenie. Napríklad informácie o rozpočtoch, obstarávaní a zmluvách môžu prispieť k zvýšeniu transparentnosti. Informácie o výkonoch orgánov verejnej správy môžu pomôcť k zvýšeniu dôvery a zlepšiť pohľad na verejnú správu. Obrázok nižšie ponúka príklady 3 najsťahovanejších datasetov v troch krajinách (USA, UK a Francúzsko) na základe benchmarku Capgemini.</w:t>
      </w:r>
    </w:p>
    <w:p>
      <w:pPr>
        <w:pStyle w:val="Caption1"/>
        <w:keepNext/>
        <w:jc w:val="both"/>
        <w:rPr/>
      </w:pPr>
      <w:r>
        <w:rPr/>
        <w:t>Top 3 najsťahovanejšie datasety v troch krajinách (USA, UK a Francúzsko) na základe benchmarku Capgemini</w:t>
      </w:r>
    </w:p>
    <w:p>
      <w:pPr>
        <w:pStyle w:val="06Normal"/>
        <w:rPr>
          <w:rFonts w:eastAsia="Arial Unicode MS"/>
        </w:rPr>
      </w:pPr>
      <w:r>
        <w:rPr/>
        <w:drawing>
          <wp:inline distT="0" distB="0" distL="0" distR="0">
            <wp:extent cx="5400040" cy="2837815"/>
            <wp:effectExtent l="0" t="0" r="0" b="0"/>
            <wp:docPr id="6"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1" descr=""/>
                    <pic:cNvPicPr>
                      <a:picLocks noChangeAspect="1" noChangeArrowheads="1"/>
                    </pic:cNvPicPr>
                  </pic:nvPicPr>
                  <pic:blipFill>
                    <a:blip r:embed="rId7"/>
                    <a:stretch>
                      <a:fillRect/>
                    </a:stretch>
                  </pic:blipFill>
                  <pic:spPr bwMode="auto">
                    <a:xfrm>
                      <a:off x="0" y="0"/>
                      <a:ext cx="5400040" cy="2837815"/>
                    </a:xfrm>
                    <a:prstGeom prst="rect">
                      <a:avLst/>
                    </a:prstGeom>
                  </pic:spPr>
                </pic:pic>
              </a:graphicData>
            </a:graphic>
          </wp:inline>
        </w:drawing>
      </w:r>
    </w:p>
    <w:p>
      <w:pPr>
        <w:pStyle w:val="06Normal"/>
        <w:rPr>
          <w:rFonts w:eastAsia="Arial Unicode MS"/>
        </w:rPr>
      </w:pPr>
      <w:r>
        <w:rPr>
          <w:rFonts w:eastAsia="Arial Unicode MS"/>
        </w:rPr>
        <w:t>Do diskusii o zverejnení je potrebné zapojiť aj názory komunity využívajúcej otvorené dáta, aby sa znížilo riziko, že zverejnené datasety nebudú využívané.  Na zber spätnej väzby slúži predovšetkým portál data.gov.sk a využíva sa v procese neustáleho zlepšenia kvality a ponuky datasetov. Spätnú väzbu na používanie otvorených dát a dopyt po nových datasetoch získa povinná osoba prostredníctvom:</w:t>
      </w:r>
    </w:p>
    <w:p>
      <w:pPr>
        <w:pStyle w:val="08Bullet1"/>
        <w:numPr>
          <w:ilvl w:val="0"/>
          <w:numId w:val="2"/>
        </w:numPr>
        <w:spacing w:before="0" w:after="0"/>
        <w:rPr>
          <w:rFonts w:eastAsia="Arial Unicode MS"/>
        </w:rPr>
      </w:pPr>
      <w:r>
        <w:rPr>
          <w:rFonts w:eastAsia="Arial Unicode MS"/>
        </w:rPr>
        <w:t>Prieskumov a ankiet;</w:t>
      </w:r>
    </w:p>
    <w:p>
      <w:pPr>
        <w:pStyle w:val="08Bullet1"/>
        <w:numPr>
          <w:ilvl w:val="0"/>
          <w:numId w:val="2"/>
        </w:numPr>
        <w:spacing w:before="0" w:after="0"/>
        <w:rPr>
          <w:rFonts w:eastAsia="Arial Unicode MS"/>
        </w:rPr>
      </w:pPr>
      <w:r>
        <w:rPr>
          <w:rFonts w:eastAsia="Arial Unicode MS"/>
        </w:rPr>
        <w:t>Online hlasovania za datasety zo zoznamu predvybraných kandidátov;</w:t>
      </w:r>
    </w:p>
    <w:p>
      <w:pPr>
        <w:pStyle w:val="08Bullet1"/>
        <w:numPr>
          <w:ilvl w:val="0"/>
          <w:numId w:val="2"/>
        </w:numPr>
        <w:spacing w:before="0" w:after="0"/>
        <w:rPr>
          <w:rFonts w:eastAsia="Arial Unicode MS"/>
        </w:rPr>
      </w:pPr>
      <w:r>
        <w:rPr>
          <w:rFonts w:eastAsia="Arial Unicode MS"/>
        </w:rPr>
        <w:t>Workshopov, napríklad v priestoroch, kde pôsobia start-upy;</w:t>
      </w:r>
    </w:p>
    <w:p>
      <w:pPr>
        <w:pStyle w:val="08Bullet1"/>
        <w:numPr>
          <w:ilvl w:val="0"/>
          <w:numId w:val="2"/>
        </w:numPr>
        <w:spacing w:before="0" w:after="0"/>
        <w:rPr>
          <w:rFonts w:eastAsia="Arial Unicode MS"/>
        </w:rPr>
      </w:pPr>
      <w:r>
        <w:rPr>
          <w:rFonts w:eastAsia="Arial Unicode MS"/>
        </w:rPr>
        <w:t>Verejných diskusií s odbornou komunitou;</w:t>
      </w:r>
    </w:p>
    <w:p>
      <w:pPr>
        <w:pStyle w:val="08Bullet1"/>
        <w:numPr>
          <w:ilvl w:val="0"/>
          <w:numId w:val="2"/>
        </w:numPr>
        <w:spacing w:before="0" w:after="0"/>
        <w:rPr>
          <w:rFonts w:eastAsia="Arial Unicode MS"/>
        </w:rPr>
      </w:pPr>
      <w:r>
        <w:rPr>
          <w:rFonts w:eastAsia="Arial Unicode MS"/>
        </w:rPr>
        <w:t>Konferencií.</w:t>
      </w:r>
    </w:p>
    <w:p>
      <w:pPr>
        <w:pStyle w:val="06Normal"/>
        <w:rPr/>
      </w:pPr>
      <w:r>
        <w:rPr>
          <w:rFonts w:eastAsia="Arial Unicode MS"/>
        </w:rPr>
        <w:t>Odporúča sa tiež sledovať výstupy medzinárodných štúdií ako the Open Data Index</w:t>
      </w:r>
      <w:r>
        <w:rPr>
          <w:rStyle w:val="FootnoteAnchor"/>
          <w:rFonts w:eastAsia="Arial Unicode MS"/>
        </w:rPr>
        <w:footnoteReference w:id="4"/>
      </w:r>
      <w:del w:id="8" w:author="Miroslav Líška" w:date="2017-09-25T21:03:00Z">
        <w:r>
          <w:rPr>
            <w:rFonts w:eastAsia="Arial Unicode MS"/>
          </w:rPr>
          <w:delText xml:space="preserve"> alebo </w:delText>
        </w:r>
      </w:del>
      <w:ins w:id="9" w:author="Miroslav Líška" w:date="2017-09-25T21:03:00Z">
        <w:r>
          <w:rPr>
            <w:rFonts w:eastAsia="Arial Unicode MS"/>
          </w:rPr>
          <w:t>,</w:t>
        </w:r>
      </w:ins>
      <w:r>
        <w:rPr>
          <w:rFonts w:eastAsia="Arial Unicode MS"/>
        </w:rPr>
        <w:t>the Open Data Barometer</w:t>
      </w:r>
      <w:r>
        <w:rPr>
          <w:rStyle w:val="FootnoteAnchor"/>
          <w:rFonts w:eastAsia="Arial Unicode MS"/>
        </w:rPr>
        <w:footnoteReference w:id="5"/>
      </w:r>
      <w:ins w:id="10" w:author="Miroslav Líška" w:date="2017-09-25T21:03:00Z">
        <w:r>
          <w:rPr>
            <w:rFonts w:eastAsia="Arial Unicode MS"/>
          </w:rPr>
          <w:t xml:space="preserve"> alebo kvalitu otvorených údajov podľa štandardu 5* Open Data</w:t>
        </w:r>
      </w:ins>
      <w:ins w:id="11" w:author="Miroslav Líška" w:date="2017-09-25T21:05:00Z">
        <w:r>
          <w:rPr>
            <w:rFonts w:eastAsia="Arial Unicode MS"/>
            <w:vertAlign w:val="superscript"/>
          </w:rPr>
          <w:t>5</w:t>
        </w:r>
      </w:ins>
      <w:r>
        <w:rPr>
          <w:rFonts w:eastAsia="Arial Unicode MS"/>
        </w:rPr>
        <w:t>.</w:t>
      </w:r>
    </w:p>
    <w:p>
      <w:pPr>
        <w:pStyle w:val="06Normal"/>
        <w:rPr>
          <w:rFonts w:eastAsia="Arial Unicode MS"/>
        </w:rPr>
      </w:pPr>
      <w:r>
        <w:rPr>
          <w:rFonts w:eastAsia="Arial Unicode MS"/>
        </w:rPr>
        <w:t>Odfiltrovaním datasetov nevhodných pre publikovanie zo Zoznamu potenciálnych datasetov, dostaneme Zoznam potenciálnych datasetov pre zverejnenie.</w:t>
      </w:r>
    </w:p>
    <w:p>
      <w:pPr>
        <w:pStyle w:val="Heading2"/>
        <w:numPr>
          <w:ilvl w:val="1"/>
          <w:numId w:val="8"/>
        </w:numPr>
        <w:rPr/>
      </w:pPr>
      <w:bookmarkStart w:id="27" w:name="_Toc367325033"/>
      <w:r>
        <w:rPr/>
        <w:t>Identifikovanie nezverejňovaných datasetov</w:t>
      </w:r>
      <w:bookmarkEnd w:id="27"/>
      <w:r>
        <w:rPr/>
        <w:t xml:space="preserve"> </w:t>
      </w:r>
    </w:p>
    <w:p>
      <w:pPr>
        <w:pStyle w:val="06Normal"/>
        <w:rPr>
          <w:rFonts w:eastAsia="Arial Unicode MS"/>
        </w:rPr>
      </w:pPr>
      <w:r>
        <w:rPr>
          <w:rFonts w:eastAsia="Arial Unicode MS"/>
        </w:rPr>
        <w:t>Rozhodnutie nezverejniť dataset musí byť toto rozhodnutie vykonané na základe analýzy rizík a prekážok pre zverejnenie. Môže to byť na základe analýzy možného zverejnenia osobných údajov alebo utajovaných skutočností, ktoré môžu byť odkryté po skombinovaní viacerých datasetov, pričom z každého datasetu boli takéto údaje odstránené. Keďže ide o komplexný rozhodovací proces o možnosti publikovania, odporúča sa uskutočniť ho formou workshopu za prítomnosti vlastníkov datasetov, právnikov, dátového kurátora a ďalších stakeholderov.</w:t>
      </w:r>
    </w:p>
    <w:p>
      <w:pPr>
        <w:pStyle w:val="06Normal"/>
        <w:rPr>
          <w:rFonts w:eastAsia="Arial Unicode MS"/>
        </w:rPr>
      </w:pPr>
      <w:r>
        <w:rPr>
          <w:rFonts w:eastAsia="Arial Unicode MS"/>
        </w:rPr>
        <w:t>Príkladom dôvodu pre nepublikovanie môže byť:</w:t>
      </w:r>
    </w:p>
    <w:p>
      <w:pPr>
        <w:pStyle w:val="08Bullet1"/>
        <w:numPr>
          <w:ilvl w:val="0"/>
          <w:numId w:val="2"/>
        </w:numPr>
        <w:rPr>
          <w:rFonts w:eastAsia="Arial Unicode MS"/>
        </w:rPr>
      </w:pPr>
      <w:r>
        <w:rPr>
          <w:rFonts w:eastAsia="Arial Unicode MS"/>
        </w:rPr>
        <w:t>Zverejnenie osobných údajov alebo utajovaných skutočností;</w:t>
      </w:r>
    </w:p>
    <w:p>
      <w:pPr>
        <w:pStyle w:val="08Bullet1"/>
        <w:numPr>
          <w:ilvl w:val="0"/>
          <w:numId w:val="2"/>
        </w:numPr>
        <w:rPr>
          <w:rFonts w:eastAsia="Arial Unicode MS"/>
        </w:rPr>
      </w:pPr>
      <w:r>
        <w:rPr>
          <w:rFonts w:eastAsia="Arial Unicode MS"/>
        </w:rPr>
        <w:t>Náklady na zverejnenie násobne prevyšujú prínosy;</w:t>
      </w:r>
    </w:p>
    <w:p>
      <w:pPr>
        <w:pStyle w:val="08Bullet1"/>
        <w:numPr>
          <w:ilvl w:val="0"/>
          <w:numId w:val="2"/>
        </w:numPr>
        <w:rPr>
          <w:rFonts w:eastAsia="Arial Unicode MS"/>
        </w:rPr>
      </w:pPr>
      <w:r>
        <w:rPr>
          <w:rFonts w:eastAsia="Arial Unicode MS"/>
        </w:rPr>
        <w:t xml:space="preserve">Nízky potenciál pre </w:t>
      </w:r>
      <w:r>
        <w:rPr/>
        <w:t>opakované použitie</w:t>
      </w:r>
      <w:r>
        <w:rPr>
          <w:rFonts w:eastAsia="Arial Unicode MS"/>
        </w:rPr>
        <w:t>.</w:t>
      </w:r>
    </w:p>
    <w:p>
      <w:pPr>
        <w:pStyle w:val="06Normal"/>
        <w:rPr>
          <w:rFonts w:eastAsia="Arial Unicode MS"/>
        </w:rPr>
      </w:pPr>
      <w:r>
        <w:rPr>
          <w:rFonts w:eastAsia="Arial Unicode MS"/>
        </w:rPr>
        <w:t xml:space="preserve">Základná kategorizácia údajov pri rozhodovaní o vhodnosti ich zverejnenia rozlišuje dve úrovne: </w:t>
      </w:r>
    </w:p>
    <w:p>
      <w:pPr>
        <w:pStyle w:val="08Bullet01"/>
        <w:numPr>
          <w:ilvl w:val="0"/>
          <w:numId w:val="2"/>
        </w:numPr>
        <w:rPr/>
      </w:pPr>
      <w:r>
        <w:rPr>
          <w:b/>
        </w:rPr>
        <w:t>zverejniteľné údaje</w:t>
      </w:r>
      <w:r>
        <w:rPr/>
        <w:t xml:space="preserve"> (Z) – údaje, ktorých zverejnenie neohrozuje fungovanie štátu alebo jeho systémov a neprezrádza utajované skutočnosti, obchodné tajomstvo alebo neprezrádza informácie o osobnosti a súkromí fyzickej osoby. Takéto údaje je preto možné kedykoľvek zverejniť.</w:t>
      </w:r>
    </w:p>
    <w:p>
      <w:pPr>
        <w:pStyle w:val="08Bullet01"/>
        <w:numPr>
          <w:ilvl w:val="0"/>
          <w:numId w:val="2"/>
        </w:numPr>
        <w:rPr/>
      </w:pPr>
      <w:r>
        <w:rPr>
          <w:b/>
        </w:rPr>
        <w:t>nezverejniteľné údaje</w:t>
      </w:r>
      <w:r>
        <w:rPr/>
        <w:t xml:space="preserve"> (NZ) – údaje, ktoré nie je možné zverejniť, pretože zverejnenie nesie riziko okamžitého alebo neskoršieho pokusu o narušenie informačnej bezpečnosti, súkromia alebo obchodného tajomstva. Pre nezverejniteľné údaje môže existovať podmienka, ktorá keď je splnená nezverejniteľné údaje sa stanú zverejniteľnými. Napríklad osobné údaje možno zverejniť so súhlasom dotknutej osoby alebo ak to ustanovuje osobitný zákon. V opačnom prípade musí byť vykonaná anonymizácia údajov. Obchodné tajomstvo sa napríklad netýka informácií o znečisťovaní životného prostredia alebo o poskytnutí štátnej pomoci.</w:t>
      </w:r>
    </w:p>
    <w:p>
      <w:pPr>
        <w:pStyle w:val="08Bullet01"/>
        <w:numPr>
          <w:ilvl w:val="0"/>
          <w:numId w:val="0"/>
        </w:numPr>
        <w:ind w:left="360" w:hanging="360"/>
        <w:rPr/>
      </w:pPr>
      <w:r>
        <w:rPr/>
        <w:t>Podmienky zverejniteľnosti údajov sú definované aj v §8, 9, 10 a 11 Zákona č. 211</w:t>
      </w:r>
      <w:r>
        <w:rPr>
          <w:lang w:val="pl-PL"/>
        </w:rPr>
        <w:t xml:space="preserve">/200. </w:t>
      </w:r>
    </w:p>
    <w:p>
      <w:pPr>
        <w:pStyle w:val="08Bullet01"/>
        <w:numPr>
          <w:ilvl w:val="0"/>
          <w:numId w:val="0"/>
        </w:numPr>
        <w:ind w:left="360" w:hanging="360"/>
        <w:rPr/>
      </w:pPr>
      <w:r>
        <w:rPr/>
        <w:t>Ochrana osobných údajov je problematikou, ktorou je potrebné sa zaoberať aj v rámci zverejňovania otvorených údajov. Zákon č. 428/2002 Z. z. neupravuje konkrétny zoznam údajov, ktoré sú považované za osobné údaje; v súlade s ustanovením § 3 poskytuje demonštratívny výpočet charakteristík určujúcich fyzickú osobu. V zmysle tohto ustanovenia je potrebné individuálne a v každom prípade jednotlivo rozlišovať, či rôzne údaje, napríklad  o IKT, majú zároveň aj charakter osobného údaja v zmysle uvedeného § 3 zákona č. 428/2002 Z. z. Rovnako je dôležité aj to, že po priradení určitej informácie k osobnému údaju, ktorá sama o sebe nemá charakter osobného údaju, sa takáto informácia môže stať tiež osobným údajom, ak vedie k lepšej identifikácii konkrétnej fyzickej osoby, napr. údaje o používanom softvéri sa priradia ku konkrétnemu zamestnancovi orgánu verejnej správy identifikovanému menom, priezviskom a zamestnaneckou príslušnosťou k danému orgánu ako svojmu zamestnávateľovi. Podobná situácia môže nastať v prípade kombinovania viacerých datasetov.</w:t>
      </w:r>
    </w:p>
    <w:p>
      <w:pPr>
        <w:pStyle w:val="08Bullet01"/>
        <w:numPr>
          <w:ilvl w:val="0"/>
          <w:numId w:val="0"/>
        </w:numPr>
        <w:ind w:left="360" w:hanging="360"/>
        <w:rPr/>
      </w:pPr>
      <w:r>
        <w:rPr/>
        <w:t>Dôverné štatistické údaje súvisiace so štatistickými zisťovaniami sú chránené v súlade so zákonom, najmä zákonom č. 122/2013 Z.z. o ochrane osobných údajov a o zmene a doplnení niektorých zákonov a zákonom č. 540/2001 Z. z. o štátnej štatistike v znení neskorších predpisov.</w:t>
      </w:r>
    </w:p>
    <w:p>
      <w:pPr>
        <w:pStyle w:val="06Normal"/>
        <w:rPr/>
      </w:pPr>
      <w:r>
        <w:rPr/>
        <w:t>Osobné údaje a zároveň údaje o IKT sú, resp. môžu byť napr.: prihlasovacie meno užívateľa informačného systému, logy (prihlasovanie / odhlasovanie užívateľa), rôzne súbory na pamäťových médiách, vlastné údaje databáz a registrov (t.j. používateľské údaje), nastavenie prístupových práv používateľov informačných systémov, ako aj ďalšie IKT, ktoré môžu mať určitú vypovedaciu schopnosť vedúcu k identifikácii konkrétnej fyzickej osoby.</w:t>
      </w:r>
    </w:p>
    <w:p>
      <w:pPr>
        <w:pStyle w:val="08Bullet01"/>
        <w:numPr>
          <w:ilvl w:val="0"/>
          <w:numId w:val="0"/>
        </w:numPr>
        <w:ind w:left="360" w:hanging="360"/>
        <w:rPr/>
      </w:pPr>
      <w:r>
        <w:rPr/>
        <w:t xml:space="preserve">Podmienky pre zverejnenie alebo nezverejnenie údajov môžu byť rôzne a po odbornom zvážení rozhoduje o tom príslušná povinná osoba. V prípade, že má povinná osoba zavedenú funkčnú organizáciu bezpečnosti (vyplývajúcu z bezpečnostnej politiky), o posudzovaní zverejniteľnosti by mala rozhodovať niektorá z bezpečnostných rolí celého systému (napr. bezpečnostný manažér alebo metodik bezpečnosti). Dôvodom rozhodnutia zverejnenia údajov môžu byť nasledovné podmienky: </w:t>
      </w:r>
    </w:p>
    <w:p>
      <w:pPr>
        <w:pStyle w:val="08Bullet01"/>
        <w:numPr>
          <w:ilvl w:val="0"/>
          <w:numId w:val="2"/>
        </w:numPr>
        <w:rPr/>
      </w:pPr>
      <w:r>
        <w:rPr/>
        <w:t>uplynul určitý čas (uvedené kritérium je potrebné používať s rozvahou, nakoľko nemusí znamenať, že riziko ohrozenia pominulo),</w:t>
      </w:r>
    </w:p>
    <w:p>
      <w:pPr>
        <w:pStyle w:val="08Bullet01"/>
        <w:numPr>
          <w:ilvl w:val="0"/>
          <w:numId w:val="2"/>
        </w:numPr>
        <w:rPr/>
      </w:pPr>
      <w:r>
        <w:rPr/>
        <w:t xml:space="preserve">údaj už nie je relevantný a nemôže ohroziť existujúce skutočnosti a systémy, </w:t>
      </w:r>
    </w:p>
    <w:p>
      <w:pPr>
        <w:pStyle w:val="08Bullet01"/>
        <w:numPr>
          <w:ilvl w:val="0"/>
          <w:numId w:val="2"/>
        </w:numPr>
        <w:rPr/>
      </w:pPr>
      <w:r>
        <w:rPr/>
        <w:t>údaj sa týka nefunkčných („neživých“) alebo nepoužívaných systémov, atď.</w:t>
      </w:r>
    </w:p>
    <w:p>
      <w:pPr>
        <w:pStyle w:val="06Normal"/>
        <w:rPr/>
      </w:pPr>
      <w:r>
        <w:rPr/>
        <w:t>Pri zverejňovaní otvorených údajov je ďalej potrebné dbať na ochranu utajovaných skutočností. Právnym základom ochrany utajovaných skutočností v Slovenskej republike je zákon č. 215/2004 Z. z. o ochrane utajovaných skutočností a o zmene a doplnení niektorých zákonov v znení neskorších predpisov. Uvedená platná právna úprava definuje konkrétne podmienky na ochranu utajovaných skutočností, práva a povinnosti právnických osôb a fyzických osôb pri tejto ochrane, pôsobnosť Národného bezpečnostného úradu a pôsobnosť ďalších štátnych orgánov a obcí vo vzťahu k utajovaným skutočnostiam, vrátane uplatňovania administratívnej zodpovednosti za porušenie povinností vo vzťahu k fyzickým ako aj k právnickým osobám.</w:t>
      </w:r>
    </w:p>
    <w:p>
      <w:pPr>
        <w:pStyle w:val="06Normal"/>
        <w:rPr>
          <w:rFonts w:eastAsia="Arial Unicode MS"/>
        </w:rPr>
      </w:pPr>
      <w:r>
        <w:rPr/>
        <w:t>Utajované skutočnosti je potrebné chrániť pred nepovolanou osobou a pred cudzou mocou v súlade s uvedenou platnou právnou úpravou. Preto je nevyhnutné vykonať analýzu zverejnených datasetov a ich kombinácií, či nedôjde k zverejneniu utajovaných skutočností. Odporúča sa rozpoznať datasety, ktoré sa týkajú príbuzných tém, ktoré sú predmetom utajovaných skutočností organizácie (napríklad umiestnenie kritickej infraštruktúry štátu), a definovať možné riziká spojené s ich zverejňovaním v registri rizík popísanom v nasledujúcej časti.</w:t>
      </w:r>
    </w:p>
    <w:p>
      <w:pPr>
        <w:pStyle w:val="Heading2"/>
        <w:numPr>
          <w:ilvl w:val="1"/>
          <w:numId w:val="8"/>
        </w:numPr>
        <w:rPr/>
      </w:pPr>
      <w:bookmarkStart w:id="28" w:name="_Ref422138038"/>
      <w:bookmarkStart w:id="29" w:name="_Toc367308146"/>
      <w:bookmarkStart w:id="30" w:name="_Toc367325034"/>
      <w:r>
        <w:rPr/>
        <w:t>Register rizík</w:t>
      </w:r>
      <w:bookmarkEnd w:id="28"/>
      <w:bookmarkEnd w:id="29"/>
      <w:bookmarkEnd w:id="30"/>
      <w:r>
        <w:rPr/>
        <w:t xml:space="preserve"> </w:t>
      </w:r>
    </w:p>
    <w:p>
      <w:pPr>
        <w:pStyle w:val="06Normal"/>
        <w:rPr>
          <w:rFonts w:eastAsia="Arial Unicode MS"/>
        </w:rPr>
      </w:pPr>
      <w:r>
        <w:rPr>
          <w:rFonts w:eastAsia="Arial Unicode MS"/>
        </w:rPr>
        <w:t xml:space="preserve">Povinná osoba vykoná analýzu rizík zverejnenia datasetu a každé riziko zaznamená do </w:t>
      </w:r>
      <w:r>
        <w:rPr>
          <w:rFonts w:eastAsia="Arial Unicode MS"/>
          <w:b/>
        </w:rPr>
        <w:t>registra rizík</w:t>
      </w:r>
      <w:r>
        <w:rPr>
          <w:rFonts w:eastAsia="Arial Unicode MS"/>
        </w:rPr>
        <w:t>, ktorý obsahuje:</w:t>
      </w:r>
    </w:p>
    <w:p>
      <w:pPr>
        <w:pStyle w:val="08Bullet1"/>
        <w:numPr>
          <w:ilvl w:val="0"/>
          <w:numId w:val="2"/>
        </w:numPr>
        <w:rPr>
          <w:rFonts w:eastAsia="Arial Unicode MS"/>
        </w:rPr>
      </w:pPr>
      <w:r>
        <w:rPr>
          <w:rFonts w:eastAsia="Arial Unicode MS"/>
        </w:rPr>
        <w:t>ID rizika;</w:t>
      </w:r>
    </w:p>
    <w:p>
      <w:pPr>
        <w:pStyle w:val="08Bullet1"/>
        <w:numPr>
          <w:ilvl w:val="0"/>
          <w:numId w:val="2"/>
        </w:numPr>
        <w:rPr>
          <w:rFonts w:eastAsia="Arial Unicode MS"/>
        </w:rPr>
      </w:pPr>
      <w:r>
        <w:rPr>
          <w:rFonts w:eastAsia="Arial Unicode MS"/>
        </w:rPr>
        <w:t>Meno a popis rizika;</w:t>
      </w:r>
    </w:p>
    <w:p>
      <w:pPr>
        <w:pStyle w:val="08Bullet1"/>
        <w:numPr>
          <w:ilvl w:val="0"/>
          <w:numId w:val="2"/>
        </w:numPr>
        <w:rPr>
          <w:rFonts w:eastAsia="Arial Unicode MS"/>
        </w:rPr>
      </w:pPr>
      <w:r>
        <w:rPr>
          <w:rFonts w:eastAsia="Arial Unicode MS"/>
        </w:rPr>
        <w:t>Publikované datasety, na ktoré sa vzťahuje;</w:t>
      </w:r>
    </w:p>
    <w:p>
      <w:pPr>
        <w:pStyle w:val="08Bullet1"/>
        <w:numPr>
          <w:ilvl w:val="0"/>
          <w:numId w:val="2"/>
        </w:numPr>
        <w:rPr>
          <w:rFonts w:eastAsia="Arial Unicode MS"/>
        </w:rPr>
      </w:pPr>
      <w:r>
        <w:rPr>
          <w:rFonts w:eastAsia="Arial Unicode MS"/>
        </w:rPr>
        <w:t>Popis možného dopadu rizika;</w:t>
      </w:r>
    </w:p>
    <w:p>
      <w:pPr>
        <w:pStyle w:val="08Bullet1"/>
        <w:numPr>
          <w:ilvl w:val="0"/>
          <w:numId w:val="2"/>
        </w:numPr>
        <w:rPr>
          <w:rFonts w:eastAsia="Arial Unicode MS"/>
        </w:rPr>
      </w:pPr>
      <w:r>
        <w:rPr>
          <w:rFonts w:eastAsia="Arial Unicode MS"/>
        </w:rPr>
        <w:t>Informáciu o pravdepodobnosti výskytu;</w:t>
      </w:r>
    </w:p>
    <w:p>
      <w:pPr>
        <w:pStyle w:val="08Bullet1"/>
        <w:numPr>
          <w:ilvl w:val="0"/>
          <w:numId w:val="2"/>
        </w:numPr>
        <w:rPr>
          <w:rFonts w:eastAsia="Arial Unicode MS"/>
        </w:rPr>
      </w:pPr>
      <w:r>
        <w:rPr>
          <w:rFonts w:eastAsia="Arial Unicode MS"/>
        </w:rPr>
        <w:t>Mitigačnú stratégiu.</w:t>
      </w:r>
    </w:p>
    <w:p>
      <w:pPr>
        <w:pStyle w:val="Heading2"/>
        <w:numPr>
          <w:ilvl w:val="1"/>
          <w:numId w:val="8"/>
        </w:numPr>
        <w:rPr/>
      </w:pPr>
      <w:bookmarkStart w:id="31" w:name="_Toc367325035"/>
      <w:bookmarkEnd w:id="31"/>
      <w:r>
        <w:rPr/>
        <w:t>Zoznam potenciálnych datasetov pre zverejnenie</w:t>
      </w:r>
    </w:p>
    <w:p>
      <w:pPr>
        <w:pStyle w:val="06Normal"/>
        <w:rPr>
          <w:rFonts w:eastAsia="Arial Unicode MS"/>
        </w:rPr>
      </w:pPr>
      <w:r>
        <w:rPr>
          <w:rFonts w:eastAsia="Arial Unicode MS"/>
        </w:rPr>
        <w:t>Odfiltrovaním nezverejňovaných datasetov z mapy datasetov a zo zoznamu potenciálnych datasetov, vytvorí povinná osoba Zoznam potenciálnych datasetov pre zverejnenie.</w:t>
      </w:r>
    </w:p>
    <w:p>
      <w:pPr>
        <w:pStyle w:val="08Bullet1"/>
        <w:rPr>
          <w:rFonts w:eastAsia="Arial Unicode MS"/>
        </w:rPr>
      </w:pPr>
      <w:r>
        <w:rPr>
          <w:rFonts w:eastAsia="Arial Unicode MS"/>
        </w:rPr>
      </w:r>
    </w:p>
    <w:p>
      <w:pPr>
        <w:pStyle w:val="Heading1"/>
        <w:numPr>
          <w:ilvl w:val="0"/>
          <w:numId w:val="8"/>
        </w:numPr>
        <w:rPr/>
      </w:pPr>
      <w:bookmarkStart w:id="32" w:name="_Ref406401161"/>
      <w:bookmarkStart w:id="33" w:name="_Toc367306469"/>
      <w:bookmarkStart w:id="34" w:name="_Toc367308147"/>
      <w:bookmarkStart w:id="35" w:name="_Toc367325036"/>
      <w:bookmarkStart w:id="36" w:name="_Toc422147912"/>
      <w:bookmarkStart w:id="37" w:name="_Toc422147913"/>
      <w:bookmarkStart w:id="38" w:name="_Toc422147914"/>
      <w:bookmarkStart w:id="39" w:name="_Toc422147915"/>
      <w:bookmarkStart w:id="40" w:name="_Toc422147916"/>
      <w:bookmarkStart w:id="41" w:name="_Toc422147917"/>
      <w:bookmarkStart w:id="42" w:name="_Toc422147918"/>
      <w:bookmarkStart w:id="43" w:name="_Toc422147919"/>
      <w:bookmarkStart w:id="44" w:name="_Toc422147920"/>
      <w:bookmarkStart w:id="45" w:name="_Toc422147921"/>
      <w:bookmarkStart w:id="46" w:name="_Toc422147922"/>
      <w:bookmarkStart w:id="47" w:name="_Toc422147923"/>
      <w:bookmarkStart w:id="48" w:name="_Toc422147924"/>
      <w:bookmarkStart w:id="49" w:name="_Toc422147925"/>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t>Stanovenie náročnosti zverejnenia datasetov</w:t>
      </w:r>
    </w:p>
    <w:p>
      <w:pPr>
        <w:pStyle w:val="06Normal"/>
        <w:rPr>
          <w:rFonts w:eastAsia="Arial Unicode MS"/>
        </w:rPr>
      </w:pPr>
      <w:r>
        <w:rPr>
          <w:rFonts w:eastAsia="Arial Unicode MS"/>
        </w:rPr>
        <w:t>Stanovenie náročnosti zverejnenia slúži pre vyhodnotenie, či sú identifikované datasety vhodné pre zverejnenie a aká bude náročnosť ich zverejnenia. Prvým krokom pri posudzovaní náročnosti zverejnenia datasetu je určenie jeho kvality. Druhým krokom je stanovenie náročnosti zverejnenia jednotlivých datasetov.</w:t>
      </w:r>
    </w:p>
    <w:p>
      <w:pPr>
        <w:pStyle w:val="06Normal"/>
        <w:rPr>
          <w:rFonts w:eastAsia="Arial Unicode MS"/>
        </w:rPr>
      </w:pPr>
      <w:r>
        <w:rPr>
          <w:rFonts w:eastAsia="Arial Unicode MS"/>
        </w:rPr>
      </w:r>
    </w:p>
    <w:p>
      <w:pPr>
        <w:pStyle w:val="12Caption"/>
        <w:rPr/>
      </w:pPr>
      <w:r>
        <w:rPr/>
        <w:t>Stanovenie náročnosti zverejnenia</w:t>
      </w:r>
    </w:p>
    <w:p>
      <w:pPr>
        <w:pStyle w:val="06Normal"/>
        <w:rPr>
          <w:rFonts w:eastAsia="Arial Unicode MS"/>
        </w:rPr>
      </w:pPr>
      <w:r>
        <w:rPr/>
        <w:drawing>
          <wp:inline distT="0" distB="0" distL="0" distR="0">
            <wp:extent cx="5393055" cy="2393315"/>
            <wp:effectExtent l="0" t="0" r="0" b="0"/>
            <wp:docPr id="7" name="Picture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2" descr=""/>
                    <pic:cNvPicPr>
                      <a:picLocks noChangeAspect="1" noChangeArrowheads="1"/>
                    </pic:cNvPicPr>
                  </pic:nvPicPr>
                  <pic:blipFill>
                    <a:blip r:embed="rId8"/>
                    <a:stretch>
                      <a:fillRect/>
                    </a:stretch>
                  </pic:blipFill>
                  <pic:spPr bwMode="auto">
                    <a:xfrm>
                      <a:off x="0" y="0"/>
                      <a:ext cx="5393055" cy="2393315"/>
                    </a:xfrm>
                    <a:prstGeom prst="rect">
                      <a:avLst/>
                    </a:prstGeom>
                  </pic:spPr>
                </pic:pic>
              </a:graphicData>
            </a:graphic>
          </wp:inline>
        </w:drawing>
      </w:r>
    </w:p>
    <w:p>
      <w:pPr>
        <w:pStyle w:val="Heading2"/>
        <w:numPr>
          <w:ilvl w:val="1"/>
          <w:numId w:val="8"/>
        </w:numPr>
        <w:rPr>
          <w:rFonts w:cs="Arial"/>
        </w:rPr>
      </w:pPr>
      <w:bookmarkStart w:id="50" w:name="_Toc367325037"/>
      <w:bookmarkEnd w:id="50"/>
      <w:r>
        <w:rPr>
          <w:rStyle w:val="Strong1"/>
          <w:rFonts w:cs="Arial"/>
        </w:rPr>
        <w:t>Medzinárodný štandard</w:t>
      </w:r>
    </w:p>
    <w:p>
      <w:pPr>
        <w:pStyle w:val="Normal"/>
        <w:rPr/>
      </w:pPr>
      <w:r>
        <w:rPr/>
        <w:t>Sir Tim Berners-Lee, tvorca “linked data” (LOD), navrhol na ozna</w:t>
      </w:r>
      <w:r>
        <w:rPr>
          <w:rFonts w:ascii="Times New Roman" w:hAnsi="Times New Roman"/>
        </w:rPr>
        <w:t>č</w:t>
      </w:r>
      <w:r>
        <w:rPr/>
        <w:t>ovanie kvality datasetov jednoduchý systém grafických zna</w:t>
      </w:r>
      <w:r>
        <w:rPr>
          <w:rFonts w:ascii="Times New Roman" w:hAnsi="Times New Roman"/>
        </w:rPr>
        <w:t>č</w:t>
      </w:r>
      <w:r>
        <w:rPr/>
        <w:t>iek, ktorý je dnes medzinárodným štandardom na ozna</w:t>
      </w:r>
      <w:r>
        <w:rPr>
          <w:rFonts w:ascii="Times New Roman" w:hAnsi="Times New Roman"/>
        </w:rPr>
        <w:t>č</w:t>
      </w:r>
      <w:r>
        <w:rPr/>
        <w:t>ovanie kvality datasetov verejnej správy a je zalo</w:t>
      </w:r>
      <w:r>
        <w:rPr>
          <w:rFonts w:ascii="Times New Roman" w:hAnsi="Times New Roman"/>
        </w:rPr>
        <w:t>ž</w:t>
      </w:r>
      <w:r>
        <w:rPr/>
        <w:t>ený na princípe “hviezdi</w:t>
      </w:r>
      <w:r>
        <w:rPr>
          <w:rFonts w:ascii="Times New Roman" w:hAnsi="Times New Roman"/>
        </w:rPr>
        <w:t>č</w:t>
      </w:r>
      <w:r>
        <w:rPr/>
        <w:t xml:space="preserve">iek”, podobne ako pri hoteloch. </w:t>
      </w:r>
      <w:r>
        <w:rPr>
          <w:rFonts w:ascii="Times New Roman" w:hAnsi="Times New Roman"/>
        </w:rPr>
        <w:t>Č</w:t>
      </w:r>
      <w:r>
        <w:rPr/>
        <w:t>ím má dataset vä</w:t>
      </w:r>
      <w:r>
        <w:rPr>
          <w:rFonts w:ascii="Times New Roman" w:hAnsi="Times New Roman"/>
        </w:rPr>
        <w:t>č</w:t>
      </w:r>
      <w:r>
        <w:rPr/>
        <w:t>ší po</w:t>
      </w:r>
      <w:r>
        <w:rPr>
          <w:rFonts w:ascii="Times New Roman" w:hAnsi="Times New Roman"/>
        </w:rPr>
        <w:t>č</w:t>
      </w:r>
      <w:r>
        <w:rPr/>
        <w:t>et hviezdi</w:t>
      </w:r>
      <w:r>
        <w:rPr>
          <w:rFonts w:ascii="Times New Roman" w:hAnsi="Times New Roman"/>
        </w:rPr>
        <w:t>č</w:t>
      </w:r>
      <w:r>
        <w:rPr/>
        <w:t xml:space="preserve">iek, </w:t>
      </w:r>
      <w:ins w:id="12" w:author="Miroslav Líška" w:date="2017-09-25T21:42:00Z">
        <w:r>
          <w:rPr/>
          <w:t>tým je</w:t>
        </w:r>
      </w:ins>
      <w:ins w:id="13" w:author="Miroslav Líška" w:date="2017-09-25T21:43:00Z">
        <w:r>
          <w:rPr/>
          <w:t xml:space="preserve"> na vyššiom stupni interoperability (strojovej spracovateľnosti s ohľadom na význam údajov); </w:t>
        </w:r>
      </w:ins>
      <w:r>
        <w:rPr/>
        <w:t>o to je kvalitnejší a vhodnejší pre opakované pou</w:t>
      </w:r>
      <w:r>
        <w:rPr>
          <w:rFonts w:ascii="Times New Roman" w:hAnsi="Times New Roman"/>
        </w:rPr>
        <w:t>ž</w:t>
      </w:r>
      <w:r>
        <w:rPr/>
        <w:t>itie a vzájomne prepojovanie (linkovanie</w:t>
      </w:r>
      <w:del w:id="14" w:author="Miroslav Líška" w:date="2017-09-25T21:43:00Z">
        <w:r>
          <w:rPr/>
          <w:delText>)</w:delText>
        </w:r>
      </w:del>
      <w:r>
        <w:rPr/>
        <w:t xml:space="preserve"> údajov.</w:t>
      </w:r>
    </w:p>
    <w:p>
      <w:pPr>
        <w:pStyle w:val="Normal"/>
        <w:rPr>
          <w:rFonts w:eastAsia="Arial Unicode MS"/>
        </w:rPr>
      </w:pPr>
      <w:r>
        <w:rPr/>
        <w:t xml:space="preserve">Medzinárodný štandard garantuje, </w:t>
      </w:r>
      <w:r>
        <w:rPr>
          <w:rFonts w:ascii="Times New Roman" w:hAnsi="Times New Roman"/>
        </w:rPr>
        <w:t>ž</w:t>
      </w:r>
      <w:r>
        <w:rPr/>
        <w:t>e sú</w:t>
      </w:r>
      <w:r>
        <w:rPr>
          <w:rFonts w:ascii="Times New Roman" w:hAnsi="Times New Roman"/>
        </w:rPr>
        <w:t>č</w:t>
      </w:r>
      <w:r>
        <w:rPr/>
        <w:t>asne s technickou kvalitou musí by</w:t>
      </w:r>
      <w:r>
        <w:rPr>
          <w:rFonts w:ascii="Times New Roman" w:hAnsi="Times New Roman"/>
        </w:rPr>
        <w:t>ť</w:t>
      </w:r>
      <w:r>
        <w:rPr/>
        <w:t xml:space="preserve"> hodnotená aj právna otvorenos</w:t>
      </w:r>
      <w:r>
        <w:rPr>
          <w:rFonts w:ascii="Times New Roman" w:hAnsi="Times New Roman"/>
        </w:rPr>
        <w:t>ť</w:t>
      </w:r>
      <w:r>
        <w:rPr/>
        <w:t>, t.j. od datasetu kvality úrovne 1 vy</w:t>
      </w:r>
      <w:r>
        <w:rPr>
          <w:rFonts w:ascii="Times New Roman" w:hAnsi="Times New Roman"/>
        </w:rPr>
        <w:t>ž</w:t>
      </w:r>
      <w:r>
        <w:rPr/>
        <w:t>aduje, aby bol zárove</w:t>
      </w:r>
      <w:r>
        <w:rPr>
          <w:rFonts w:ascii="Times New Roman" w:hAnsi="Times New Roman"/>
        </w:rPr>
        <w:t>ň</w:t>
      </w:r>
      <w:r>
        <w:rPr/>
        <w:t xml:space="preserve"> aj “open dataset”, t.j. aby bol </w:t>
        <w:br/>
        <w:t>aj “licen</w:t>
      </w:r>
      <w:r>
        <w:rPr>
          <w:rFonts w:ascii="Times New Roman" w:hAnsi="Times New Roman"/>
        </w:rPr>
        <w:t>č</w:t>
      </w:r>
      <w:r>
        <w:rPr/>
        <w:t>ne otvorený”.</w:t>
      </w:r>
    </w:p>
    <w:p>
      <w:pPr>
        <w:pStyle w:val="12Caption"/>
        <w:rPr/>
      </w:pPr>
      <w:r>
        <w:rPr/>
        <w:t xml:space="preserve">Obrázok </w:t>
      </w:r>
      <w:r>
        <w:rPr/>
        <w:fldChar w:fldCharType="begin"/>
      </w:r>
      <w:r>
        <w:instrText> SEQ Obrázok \* ARABIC </w:instrText>
      </w:r>
      <w:r>
        <w:fldChar w:fldCharType="separate"/>
      </w:r>
      <w:r>
        <w:t>2</w:t>
      </w:r>
      <w:r>
        <w:fldChar w:fldCharType="end"/>
      </w:r>
      <w:r>
        <w:rPr/>
        <w:t>: Five Star hodnotenie</w:t>
      </w:r>
    </w:p>
    <w:p>
      <w:pPr>
        <w:pStyle w:val="06Normal"/>
        <w:rPr/>
      </w:pPr>
      <w:r>
        <w:rPr/>
        <w:drawing>
          <wp:inline distT="0" distB="0" distL="0" distR="0">
            <wp:extent cx="5393055" cy="2647315"/>
            <wp:effectExtent l="0" t="0" r="0" b="0"/>
            <wp:docPr id="8"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descr=""/>
                    <pic:cNvPicPr>
                      <a:picLocks noChangeAspect="1" noChangeArrowheads="1"/>
                    </pic:cNvPicPr>
                  </pic:nvPicPr>
                  <pic:blipFill>
                    <a:blip r:embed="rId9"/>
                    <a:stretch>
                      <a:fillRect/>
                    </a:stretch>
                  </pic:blipFill>
                  <pic:spPr bwMode="auto">
                    <a:xfrm>
                      <a:off x="0" y="0"/>
                      <a:ext cx="5393055" cy="2647315"/>
                    </a:xfrm>
                    <a:prstGeom prst="rect">
                      <a:avLst/>
                    </a:prstGeom>
                  </pic:spPr>
                </pic:pic>
              </a:graphicData>
            </a:graphic>
          </wp:inline>
        </w:drawing>
      </w:r>
      <w:r>
        <w:rPr/>
        <w:commentReference w:id="0"/>
      </w:r>
    </w:p>
    <w:p>
      <w:pPr>
        <w:pStyle w:val="06Normal"/>
        <w:rPr>
          <w:rFonts w:eastAsia="Arial Unicode MS"/>
        </w:rPr>
      </w:pPr>
      <w:del w:id="15" w:author="Miroslav Líška" w:date="2017-09-25T21:42:00Z">
        <w:r>
          <w:rPr>
            <w:rFonts w:eastAsia="Arial Unicode MS"/>
          </w:rPr>
          <w:delText xml:space="preserve">Úroveň kvality datasetu poskytovaného povinnou osobou môže dosahovať jednu zo šesť úrovní, </w:delText>
        </w:r>
      </w:del>
      <w:del w:id="16" w:author="Miroslav Líška" w:date="2017-09-25T21:32:00Z">
        <w:r>
          <w:rPr>
            <w:rFonts w:eastAsia="Arial Unicode MS"/>
          </w:rPr>
          <w:delText>ktorými sú</w:delText>
        </w:r>
      </w:del>
      <w:del w:id="17" w:author="Miroslav Líška" w:date="2017-09-25T21:42:00Z">
        <w:r>
          <w:rPr>
            <w:rFonts w:eastAsia="Arial Unicode MS"/>
          </w:rPr>
          <w:delText>:</w:delText>
        </w:r>
      </w:del>
    </w:p>
    <w:p>
      <w:pPr>
        <w:pStyle w:val="06Normal"/>
        <w:rPr/>
      </w:pPr>
      <w:r>
        <w:rPr/>
        <w:commentReference w:id="1"/>
      </w:r>
      <w:ins w:id="18" w:author="Miroslav Líška" w:date="2017-09-25T21:31:00Z">
        <w:r>
          <w:rPr>
            <w:rFonts w:eastAsia="Arial Unicode MS"/>
          </w:rPr>
          <w:t>Definícia:</w:t>
        </w:r>
      </w:ins>
      <w:ins w:id="19" w:author="Miroslav Líška" w:date="2017-09-25T21:31:00Z">
        <w:bookmarkStart w:id="51" w:name="title-text"/>
        <w:bookmarkEnd w:id="51"/>
        <w:r>
          <w:rPr>
            <w:rFonts w:eastAsia="Arial Unicode MS"/>
          </w:rPr>
          <w:t xml:space="preserve"> </w:t>
        </w:r>
      </w:ins>
      <w:hyperlink r:id="rId10">
        <w:ins w:id="20" w:author="Miroslav Líška" w:date="2017-09-25T21:42:00Z">
          <w:r>
            <w:rPr>
              <w:rStyle w:val="Internetovodkaz"/>
              <w:rFonts w:eastAsia="Arial Unicode MS"/>
            </w:rPr>
            <w:t>Úrovne interoperability otvorených údajov</w:t>
          </w:r>
        </w:ins>
      </w:hyperlink>
      <w:ins w:id="21" w:author="Miroslav Líška" w:date="2017-09-25T21:50:00Z">
        <w:r>
          <w:rPr>
            <w:rFonts w:eastAsia="Arial Unicode MS"/>
          </w:rPr>
          <w:t xml:space="preserve"> (v správe PS1 s uvedenými príkladmi)</w:t>
        </w:r>
      </w:ins>
    </w:p>
    <w:p>
      <w:pPr>
        <w:pStyle w:val="06Normal"/>
        <w:rPr>
          <w:rFonts w:eastAsia="Arial Unicode MS"/>
        </w:rPr>
      </w:pPr>
      <w:r>
        <w:rPr>
          <w:rFonts w:eastAsia="Arial Unicode MS"/>
        </w:rPr>
      </w:r>
    </w:p>
    <w:tbl>
      <w:tblPr>
        <w:tblW w:w="9638" w:type="dxa"/>
        <w:jc w:val="left"/>
        <w:tblInd w:w="55"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1926"/>
        <w:gridCol w:w="5222"/>
        <w:gridCol w:w="2490"/>
      </w:tblGrid>
      <w:tr>
        <w:trPr/>
        <w:tc>
          <w:tcPr>
            <w:tcW w:w="1926" w:type="dxa"/>
            <w:tcBorders>
              <w:top w:val="single" w:sz="2" w:space="0" w:color="000001"/>
              <w:left w:val="single" w:sz="2" w:space="0" w:color="000001"/>
              <w:bottom w:val="single" w:sz="2" w:space="0" w:color="000001"/>
              <w:insideH w:val="single" w:sz="2" w:space="0" w:color="000001"/>
            </w:tcBorders>
            <w:shd w:fill="EEEEEE" w:val="clear"/>
            <w:tcMar>
              <w:left w:w="51" w:type="dxa"/>
            </w:tcMar>
          </w:tcPr>
          <w:p>
            <w:pPr>
              <w:pStyle w:val="Obsahtabuky"/>
              <w:spacing w:before="0" w:after="60"/>
              <w:jc w:val="center"/>
              <w:rPr>
                <w:rFonts w:eastAsia="Times New Roman"/>
              </w:rPr>
            </w:pPr>
            <w:ins w:id="22" w:author="Miroslav Líška" w:date="2017-09-25T21:48:00Z">
              <w:r>
                <w:rPr>
                  <w:rFonts w:eastAsia="Times New Roman"/>
                </w:rPr>
                <w:t>Úroveň</w:t>
              </w:r>
            </w:ins>
          </w:p>
        </w:tc>
        <w:tc>
          <w:tcPr>
            <w:tcW w:w="5222" w:type="dxa"/>
            <w:tcBorders>
              <w:top w:val="single" w:sz="2" w:space="0" w:color="000001"/>
              <w:left w:val="single" w:sz="2" w:space="0" w:color="000001"/>
              <w:bottom w:val="single" w:sz="2" w:space="0" w:color="000001"/>
              <w:insideH w:val="single" w:sz="2" w:space="0" w:color="000001"/>
            </w:tcBorders>
            <w:shd w:fill="EEEEEE" w:val="clear"/>
            <w:tcMar>
              <w:left w:w="51" w:type="dxa"/>
            </w:tcMar>
          </w:tcPr>
          <w:p>
            <w:pPr>
              <w:pStyle w:val="Obsahtabuky"/>
              <w:spacing w:before="0" w:after="60"/>
              <w:rPr>
                <w:rFonts w:eastAsia="Times New Roman"/>
              </w:rPr>
            </w:pPr>
            <w:ins w:id="23" w:author="Miroslav Líška" w:date="2017-09-25T21:48:00Z">
              <w:r>
                <w:rPr>
                  <w:rFonts w:eastAsia="Times New Roman"/>
                </w:rPr>
                <w:t>Popis</w:t>
              </w:r>
            </w:ins>
          </w:p>
        </w:tc>
        <w:tc>
          <w:tcPr>
            <w:tcW w:w="249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tcMar>
              <w:left w:w="51" w:type="dxa"/>
            </w:tcMar>
          </w:tcPr>
          <w:p>
            <w:pPr>
              <w:pStyle w:val="Obsahtabuky"/>
              <w:spacing w:before="0" w:after="60"/>
              <w:rPr>
                <w:rFonts w:eastAsia="Times New Roman"/>
              </w:rPr>
            </w:pPr>
            <w:ins w:id="24" w:author="Miroslav Líška" w:date="2017-09-25T21:48:00Z">
              <w:r>
                <w:rPr>
                  <w:rFonts w:eastAsia="Times New Roman"/>
                </w:rPr>
                <w:t>Formáty</w:t>
              </w:r>
            </w:ins>
          </w:p>
        </w:tc>
      </w:tr>
      <w:tr>
        <w:trPr/>
        <w:tc>
          <w:tcPr>
            <w:tcW w:w="1926"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jc w:val="center"/>
              <w:rPr>
                <w:rFonts w:eastAsia="Times New Roman"/>
              </w:rPr>
            </w:pPr>
            <w:ins w:id="25" w:author="Miroslav Líška" w:date="2017-09-25T21:48:00Z">
              <w:r>
                <w:rPr>
                  <w:rFonts w:eastAsia="Times New Roman"/>
                </w:rPr>
                <w:t>1★</w:t>
              </w:r>
            </w:ins>
          </w:p>
        </w:tc>
        <w:tc>
          <w:tcPr>
            <w:tcW w:w="5222"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rPr>
                <w:rFonts w:eastAsia="Times New Roman"/>
              </w:rPr>
            </w:pPr>
            <w:ins w:id="26" w:author="Miroslav Líška" w:date="2017-09-25T21:48:00Z">
              <w:r>
                <w:rPr>
                  <w:rFonts w:eastAsia="Times New Roman"/>
                </w:rPr>
                <w:t>Sprístupnenie údajov (v akomkoľvek formáte) pod otvorenou licenciou</w:t>
              </w:r>
            </w:ins>
          </w:p>
        </w:tc>
        <w:tc>
          <w:tcPr>
            <w:tcW w:w="249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Obsahtabuky"/>
              <w:spacing w:before="0" w:after="60"/>
              <w:rPr>
                <w:rFonts w:eastAsia="Times New Roman"/>
              </w:rPr>
            </w:pPr>
            <w:ins w:id="27" w:author="Miroslav Líška" w:date="2017-09-25T21:50:00Z">
              <w:r>
                <w:rPr>
                  <w:rFonts w:eastAsia="Times New Roman"/>
                </w:rPr>
                <w:t>pdf, doc</w:t>
              </w:r>
            </w:ins>
          </w:p>
        </w:tc>
      </w:tr>
      <w:tr>
        <w:trPr/>
        <w:tc>
          <w:tcPr>
            <w:tcW w:w="1926"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jc w:val="center"/>
              <w:rPr>
                <w:rFonts w:eastAsia="Times New Roman"/>
              </w:rPr>
            </w:pPr>
            <w:ins w:id="28" w:author="Miroslav Líška" w:date="2017-09-25T21:48:00Z">
              <w:r>
                <w:rPr>
                  <w:rFonts w:eastAsia="Times New Roman"/>
                </w:rPr>
                <w:t>2★</w:t>
              </w:r>
            </w:ins>
          </w:p>
        </w:tc>
        <w:tc>
          <w:tcPr>
            <w:tcW w:w="5222"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extBody"/>
              <w:spacing w:before="130" w:after="130"/>
              <w:rPr>
                <w:rFonts w:eastAsia="Times New Roman"/>
              </w:rPr>
            </w:pPr>
            <w:ins w:id="29" w:author="Miroslav Líška" w:date="2017-09-25T21:49:00Z">
              <w:r>
                <w:rPr>
                  <w:rFonts w:eastAsia="Times New Roman"/>
                </w:rPr>
                <w:t>Údaje sú sprístupnené v štruktúrovanej forme (napr. Excel namiesto obrázka s tabuľkou)\</w:t>
              </w:r>
            </w:ins>
          </w:p>
        </w:tc>
        <w:tc>
          <w:tcPr>
            <w:tcW w:w="249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Obsahtabuky"/>
              <w:spacing w:before="0" w:after="60"/>
              <w:rPr>
                <w:rFonts w:eastAsia="Times New Roman"/>
              </w:rPr>
            </w:pPr>
            <w:ins w:id="30" w:author="Miroslav Líška" w:date="2017-09-25T21:50:00Z">
              <w:r>
                <w:rPr>
                  <w:rFonts w:eastAsia="Times New Roman"/>
                </w:rPr>
                <w:t>xls</w:t>
              </w:r>
            </w:ins>
          </w:p>
        </w:tc>
      </w:tr>
      <w:tr>
        <w:trPr/>
        <w:tc>
          <w:tcPr>
            <w:tcW w:w="1926"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jc w:val="center"/>
              <w:rPr>
                <w:rFonts w:eastAsia="Times New Roman"/>
              </w:rPr>
            </w:pPr>
            <w:ins w:id="31" w:author="Miroslav Líška" w:date="2017-09-25T21:48:00Z">
              <w:r>
                <w:rPr>
                  <w:rFonts w:eastAsia="Times New Roman"/>
                </w:rPr>
                <w:t>3★</w:t>
              </w:r>
            </w:ins>
          </w:p>
        </w:tc>
        <w:tc>
          <w:tcPr>
            <w:tcW w:w="5222"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extBody"/>
              <w:spacing w:before="130" w:after="130"/>
              <w:rPr>
                <w:rFonts w:eastAsia="Times New Roman"/>
              </w:rPr>
            </w:pPr>
            <w:ins w:id="32" w:author="Miroslav Líška" w:date="2017-09-25T21:49:00Z">
              <w:r>
                <w:rPr>
                  <w:rFonts w:eastAsia="Times New Roman"/>
                </w:rPr>
                <w:t>Sprístupnenie údajov v otvorenom formáte (napr. CSV, alebo ODS namiesto Excelu)</w:t>
              </w:r>
            </w:ins>
          </w:p>
        </w:tc>
        <w:tc>
          <w:tcPr>
            <w:tcW w:w="249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Obsahtabuky"/>
              <w:rPr>
                <w:rFonts w:eastAsia="Times New Roman"/>
              </w:rPr>
            </w:pPr>
            <w:ins w:id="33" w:author="Miroslav Líška" w:date="2017-09-25T21:50:00Z">
              <w:r>
                <w:rPr>
                  <w:rFonts w:eastAsia="Times New Roman"/>
                </w:rPr>
                <w:t>odt, csv, tsv, json, xml, </w:t>
              </w:r>
            </w:ins>
          </w:p>
          <w:p>
            <w:pPr>
              <w:pStyle w:val="Obsahtabuky"/>
              <w:spacing w:before="0" w:after="60"/>
              <w:rPr>
                <w:rFonts w:eastAsia="Times New Roman"/>
              </w:rPr>
            </w:pPr>
            <w:ins w:id="34" w:author="Miroslav Líška" w:date="2017-09-25T21:49:00Z">
              <w:r>
                <w:rPr>
                  <w:rFonts w:eastAsia="Times New Roman"/>
                </w:rPr>
                <w:t>GeoJson, GML, WKT, KML</w:t>
              </w:r>
            </w:ins>
          </w:p>
        </w:tc>
      </w:tr>
      <w:tr>
        <w:trPr/>
        <w:tc>
          <w:tcPr>
            <w:tcW w:w="1926"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jc w:val="center"/>
              <w:rPr>
                <w:rFonts w:eastAsia="Times New Roman"/>
              </w:rPr>
            </w:pPr>
            <w:ins w:id="35" w:author="Miroslav Líška" w:date="2017-09-25T21:48:00Z">
              <w:r>
                <w:rPr>
                  <w:rFonts w:eastAsia="Times New Roman"/>
                </w:rPr>
                <w:t>4★</w:t>
              </w:r>
            </w:ins>
          </w:p>
        </w:tc>
        <w:tc>
          <w:tcPr>
            <w:tcW w:w="5222"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rPr>
                <w:rFonts w:eastAsia="Times New Roman"/>
              </w:rPr>
            </w:pPr>
            <w:ins w:id="36" w:author="Miroslav Líška" w:date="2017-09-25T21:49:00Z">
              <w:r>
                <w:rPr>
                  <w:rFonts w:eastAsia="Times New Roman"/>
                </w:rPr>
                <w:t>Použitie URI na identifikáciu ľubovoľných entít (dátové prvky, údaje) tak, aby ich bolo možné referencovať. Údaje sú popísané ontológiami, avšak tie nepatria do Centrálneho modelu údajov verejnej správy.</w:t>
              </w:r>
            </w:ins>
          </w:p>
        </w:tc>
        <w:tc>
          <w:tcPr>
            <w:tcW w:w="249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Obsahtabuky"/>
              <w:spacing w:before="0" w:after="60"/>
              <w:rPr>
                <w:rFonts w:eastAsia="Times New Roman"/>
              </w:rPr>
            </w:pPr>
            <w:ins w:id="37" w:author="Miroslav Líška" w:date="2017-09-25T21:49:00Z">
              <w:r>
                <w:rPr>
                  <w:rFonts w:eastAsia="Times New Roman"/>
                </w:rPr>
                <w:t>rdf/xml, trig, json-ld, trix</w:t>
              </w:r>
            </w:ins>
          </w:p>
        </w:tc>
      </w:tr>
      <w:tr>
        <w:trPr/>
        <w:tc>
          <w:tcPr>
            <w:tcW w:w="1926"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jc w:val="center"/>
              <w:rPr>
                <w:rFonts w:eastAsia="Times New Roman"/>
              </w:rPr>
            </w:pPr>
            <w:ins w:id="38" w:author="Miroslav Líška" w:date="2017-09-25T21:48:00Z">
              <w:r>
                <w:rPr>
                  <w:rFonts w:eastAsia="Times New Roman"/>
                </w:rPr>
                <w:t>5★</w:t>
              </w:r>
            </w:ins>
          </w:p>
        </w:tc>
        <w:tc>
          <w:tcPr>
            <w:tcW w:w="5222"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extBody"/>
              <w:spacing w:before="130" w:after="130"/>
              <w:rPr/>
            </w:pPr>
            <w:ins w:id="39" w:author="Miroslav Líška" w:date="2017-09-25T21:49:00Z">
              <w:r>
                <w:rPr>
                  <w:rFonts w:eastAsia="Times New Roman"/>
                </w:rPr>
                <w:t>Zladenie/prepojenie údajov s ostatnými, aby bol jasný ich význam. V prípade otvorených verejných údajov SR ide o ich popísanie Centrálnym modelom údajov verejnej správy jednotne mapovaným na medzinárodné ontologické štandardy.</w:t>
              </w:r>
            </w:ins>
          </w:p>
        </w:tc>
        <w:tc>
          <w:tcPr>
            <w:tcW w:w="249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Obsahtabuky"/>
              <w:spacing w:before="0" w:after="60"/>
              <w:rPr>
                <w:rFonts w:eastAsia="Times New Roman"/>
              </w:rPr>
            </w:pPr>
            <w:ins w:id="40" w:author="Miroslav Líška" w:date="2017-09-25T21:49:00Z">
              <w:r>
                <w:rPr>
                  <w:rFonts w:eastAsia="Times New Roman"/>
                </w:rPr>
                <w:t>rdf/xml, trig, json-ld, trix</w:t>
              </w:r>
            </w:ins>
          </w:p>
        </w:tc>
      </w:tr>
    </w:tbl>
    <w:p>
      <w:pPr>
        <w:pStyle w:val="06Normal"/>
        <w:rPr>
          <w:rFonts w:eastAsia="Arial Unicode MS"/>
          <w:ins w:id="50" w:author="Miroslav Líška" w:date="2017-09-25T21:31:00Z"/>
          <w:b w:val="false"/>
          <w:b w:val="false"/>
          <w:bCs w:val="false"/>
        </w:rPr>
      </w:pPr>
      <w:ins w:id="41" w:author="Miroslav Líška" w:date="2017-09-26T11:32:54Z">
        <w:r>
          <w:rPr>
            <w:rFonts w:eastAsia="Arial Unicode MS"/>
            <w:b/>
            <w:bCs/>
          </w:rPr>
          <w:t>Poznámky</w:t>
        </w:r>
      </w:ins>
      <w:ins w:id="42" w:author="Miroslav Líška" w:date="2017-09-26T11:32:54Z">
        <w:r>
          <w:rPr>
            <w:rFonts w:eastAsia="Arial Unicode MS"/>
            <w:b w:val="false"/>
            <w:bCs w:val="false"/>
          </w:rPr>
          <w:t xml:space="preserve"> : </w:t>
        </w:r>
      </w:ins>
      <w:ins w:id="43" w:author="Miroslav Líška" w:date="2017-09-26T11:34:45Z">
        <w:r>
          <w:rPr>
            <w:rFonts w:eastAsia="Arial Unicode MS"/>
            <w:b w:val="false"/>
            <w:bCs w:val="false"/>
          </w:rPr>
          <w:t xml:space="preserve">Ak existuje už registrovaný </w:t>
        </w:r>
      </w:ins>
      <w:ins w:id="44" w:author="Miroslav Líška" w:date="2017-09-26T11:35:00Z">
        <w:r>
          <w:rPr>
            <w:rFonts w:eastAsia="Arial Unicode MS"/>
            <w:b w:val="false"/>
            <w:bCs w:val="false"/>
          </w:rPr>
          <w:t>URI pre ľubovoľnú entitu (objekt reálneho sveta, dátový prvok), tak ten musí byť použitý aj v 4</w:t>
        </w:r>
      </w:ins>
      <w:ins w:id="45" w:author="Miroslav Líška" w:date="2017-09-26T11:35:00Z">
        <w:r>
          <w:rPr>
            <w:rFonts w:eastAsia="Times New Roman"/>
            <w:b w:val="false"/>
            <w:bCs w:val="false"/>
          </w:rPr>
          <w:t xml:space="preserve">★ datasete (napr. povinné použitie referenčného URI). Ak </w:t>
        </w:r>
      </w:ins>
      <w:ins w:id="46" w:author="Miroslav Líška" w:date="2017-09-26T11:36:02Z">
        <w:r>
          <w:rPr>
            <w:rFonts w:eastAsia="Times New Roman"/>
            <w:b w:val="false"/>
            <w:bCs w:val="false"/>
          </w:rPr>
          <w:t xml:space="preserve">počet takýchto 5★ údajov je väčší než 4★ údajov, tak úroveň interperability tohto datasetu je možné považovať za </w:t>
        </w:r>
      </w:ins>
      <w:ins w:id="47" w:author="Miroslav Líška" w:date="2017-09-26T11:33:01Z">
        <w:r>
          <w:rPr>
            <w:rFonts w:eastAsia="Arial Unicode MS"/>
            <w:b w:val="false"/>
            <w:bCs w:val="false"/>
          </w:rPr>
          <w:t>5</w:t>
        </w:r>
      </w:ins>
      <w:ins w:id="48" w:author="Miroslav Líška" w:date="2017-09-26T11:33:01Z">
        <w:r>
          <w:rPr>
            <w:rFonts w:eastAsia="Times New Roman"/>
            <w:b w:val="false"/>
            <w:bCs w:val="false"/>
          </w:rPr>
          <w:t>★</w:t>
        </w:r>
      </w:ins>
      <w:ins w:id="49" w:author="Miroslav Líška" w:date="2017-09-26T11:34:01Z">
        <w:r>
          <w:rPr>
            <w:rFonts w:eastAsia="Times New Roman"/>
            <w:b w:val="false"/>
            <w:bCs w:val="false"/>
          </w:rPr>
          <w:t>.</w:t>
        </w:r>
      </w:ins>
    </w:p>
    <w:p>
      <w:pPr>
        <w:pStyle w:val="06Normal"/>
        <w:rPr>
          <w:rFonts w:eastAsia="Arial Unicode MS"/>
        </w:rPr>
      </w:pPr>
      <w:r>
        <w:rPr>
          <w:rFonts w:eastAsia="Arial Unicode MS"/>
        </w:rPr>
      </w:r>
    </w:p>
    <w:p>
      <w:pPr>
        <w:pStyle w:val="07Nadpisbezsla"/>
        <w:rPr>
          <w:rFonts w:eastAsia="Arial Unicode MS" w:cs="Arial"/>
        </w:rPr>
      </w:pPr>
      <w:del w:id="51" w:author="Miroslav Líška" w:date="2017-09-25T21:31:00Z">
        <w:r>
          <w:rPr>
            <w:rFonts w:eastAsia="Arial Unicode MS"/>
          </w:rPr>
          <w:delText>Úroveň 0</w:delText>
        </w:r>
      </w:del>
      <w:del w:id="52" w:author="Miroslav Líška" w:date="2017-09-25T21:31:00Z">
        <w:r>
          <w:rPr>
            <w:rFonts w:eastAsia="Arial Unicode MS" w:cs="Arial"/>
          </w:rPr>
          <w:delText>*</w:delText>
        </w:r>
      </w:del>
    </w:p>
    <w:p>
      <w:pPr>
        <w:pStyle w:val="08Bullet1"/>
        <w:numPr>
          <w:ilvl w:val="0"/>
          <w:numId w:val="2"/>
        </w:numPr>
        <w:rPr>
          <w:rFonts w:eastAsia="Arial Unicode MS"/>
        </w:rPr>
      </w:pPr>
      <w:del w:id="53" w:author="Miroslav Líška" w:date="2017-09-25T21:31:00Z">
        <w:r>
          <w:rPr>
            <w:rFonts w:eastAsia="Arial Unicode MS"/>
          </w:rPr>
          <w:delText>Dataset nie je poskytovaný v elektronickej forme.</w:delText>
        </w:r>
      </w:del>
    </w:p>
    <w:p>
      <w:pPr>
        <w:pStyle w:val="07Nadpisbezsla"/>
        <w:rPr>
          <w:rFonts w:eastAsia="Arial Unicode MS" w:cs="Arial"/>
        </w:rPr>
      </w:pPr>
      <w:del w:id="54" w:author="Miroslav Líška" w:date="2017-09-25T21:31:00Z">
        <w:r>
          <w:rPr>
            <w:rFonts w:eastAsia="Arial Unicode MS"/>
          </w:rPr>
          <w:delText>Úroveň 1</w:delText>
        </w:r>
      </w:del>
      <w:del w:id="55" w:author="Miroslav Líška" w:date="2017-09-25T21:31:00Z">
        <w:r>
          <w:rPr>
            <w:rFonts w:eastAsia="Arial Unicode MS" w:cs="Arial"/>
          </w:rPr>
          <w:delText>*</w:delText>
        </w:r>
      </w:del>
    </w:p>
    <w:p>
      <w:pPr>
        <w:pStyle w:val="08Bullet1"/>
        <w:numPr>
          <w:ilvl w:val="0"/>
          <w:numId w:val="2"/>
        </w:numPr>
        <w:rPr>
          <w:rFonts w:eastAsia="Arial Unicode MS"/>
        </w:rPr>
      </w:pPr>
      <w:del w:id="56" w:author="Miroslav Líška" w:date="2017-09-25T21:31:00Z">
        <w:r>
          <w:rPr>
            <w:rFonts w:eastAsia="Arial Unicode MS"/>
          </w:rPr>
          <w:delText>Dataset je dostupný vo webovom prostredí, avšak nemá štruktúrovaný obsah a nie je poskytovaný v otvorenom formáte.</w:delText>
        </w:r>
      </w:del>
    </w:p>
    <w:p>
      <w:pPr>
        <w:pStyle w:val="07Nadpisbezsla"/>
        <w:rPr>
          <w:rFonts w:eastAsia="Arial Unicode MS" w:cs="Arial"/>
        </w:rPr>
      </w:pPr>
      <w:del w:id="57" w:author="Miroslav Líška" w:date="2017-09-25T21:31:00Z">
        <w:r>
          <w:rPr>
            <w:rFonts w:eastAsia="Arial Unicode MS"/>
          </w:rPr>
          <w:delText>Úroveň 2</w:delText>
        </w:r>
      </w:del>
      <w:del w:id="58" w:author="Miroslav Líška" w:date="2017-09-25T21:31:00Z">
        <w:r>
          <w:rPr>
            <w:rFonts w:eastAsia="Arial Unicode MS" w:cs="Arial"/>
          </w:rPr>
          <w:delText>*</w:delText>
        </w:r>
      </w:del>
    </w:p>
    <w:p>
      <w:pPr>
        <w:pStyle w:val="08Bullet1"/>
        <w:numPr>
          <w:ilvl w:val="0"/>
          <w:numId w:val="2"/>
        </w:numPr>
        <w:rPr>
          <w:rFonts w:eastAsia="Arial Unicode MS"/>
        </w:rPr>
      </w:pPr>
      <w:del w:id="59" w:author="Miroslav Líška" w:date="2017-09-25T21:31:00Z">
        <w:r>
          <w:rPr>
            <w:rFonts w:eastAsia="Arial Unicode MS"/>
          </w:rPr>
          <w:delText>Dataset je dostupný vo webovom prostredí;</w:delText>
        </w:r>
      </w:del>
    </w:p>
    <w:p>
      <w:pPr>
        <w:pStyle w:val="08Bullet1"/>
        <w:numPr>
          <w:ilvl w:val="0"/>
          <w:numId w:val="2"/>
        </w:numPr>
        <w:rPr>
          <w:rFonts w:eastAsia="Arial Unicode MS"/>
        </w:rPr>
      </w:pPr>
      <w:del w:id="60" w:author="Miroslav Líška" w:date="2017-09-25T21:31:00Z">
        <w:r>
          <w:rPr>
            <w:rFonts w:eastAsia="Arial Unicode MS"/>
          </w:rPr>
          <w:delText>Obsah datasetu je štruktúrovaný tak, že umožňuje automatizované spracovanie, avšak nie je poskytovaný v otvorenom formáte.</w:delText>
        </w:r>
      </w:del>
    </w:p>
    <w:p>
      <w:pPr>
        <w:pStyle w:val="08Bullet1"/>
        <w:numPr>
          <w:ilvl w:val="0"/>
          <w:numId w:val="2"/>
        </w:numPr>
        <w:rPr>
          <w:rFonts w:eastAsia="Arial Unicode MS"/>
        </w:rPr>
      </w:pPr>
      <w:del w:id="61" w:author="Miroslav Líška" w:date="2017-09-25T21:31:00Z">
        <w:r>
          <w:rPr>
            <w:rFonts w:eastAsia="Arial Unicode MS"/>
          </w:rPr>
          <w:delText>Bežné sú formáty tabuľkových editorov: ODS, XLS(X) a podobne alebo HTML. V prípade textových dokumentov (ako napríklad zmluvy o dodávke externých služieb) sa väčšinou ponecháva formát textového editora (ODT, DOC(X) a podobne).</w:delText>
        </w:r>
      </w:del>
    </w:p>
    <w:p>
      <w:pPr>
        <w:pStyle w:val="07Nadpisbezsla"/>
        <w:rPr>
          <w:rFonts w:eastAsia="Arial Unicode MS"/>
        </w:rPr>
      </w:pPr>
      <w:del w:id="62" w:author="Miroslav Líška" w:date="2017-09-25T21:31:00Z">
        <w:r>
          <w:rPr>
            <w:rFonts w:eastAsia="Arial Unicode MS"/>
          </w:rPr>
          <w:delText>Úroveň 3</w:delText>
        </w:r>
      </w:del>
      <w:del w:id="63" w:author="Miroslav Líška" w:date="2017-09-25T21:31:00Z">
        <w:r>
          <w:rPr>
            <w:rFonts w:eastAsia="Arial Unicode MS" w:cs="Arial"/>
          </w:rPr>
          <w:delText>*</w:delText>
        </w:r>
      </w:del>
      <w:del w:id="64" w:author="Miroslav Líška" w:date="2017-09-25T21:31:00Z">
        <w:r>
          <w:rPr>
            <w:rFonts w:eastAsia="Arial Unicode MS"/>
          </w:rPr>
          <w:delText xml:space="preserve"> – minimálna úroveň pre publikovanie podľa štandardov pre ISVS</w:delText>
        </w:r>
      </w:del>
    </w:p>
    <w:p>
      <w:pPr>
        <w:pStyle w:val="08Bullet1"/>
        <w:numPr>
          <w:ilvl w:val="0"/>
          <w:numId w:val="2"/>
        </w:numPr>
        <w:rPr>
          <w:rFonts w:eastAsia="Arial Unicode MS"/>
        </w:rPr>
      </w:pPr>
      <w:del w:id="65" w:author="Miroslav Líška" w:date="2017-09-25T21:31:00Z">
        <w:r>
          <w:rPr>
            <w:rFonts w:eastAsia="Arial Unicode MS"/>
          </w:rPr>
          <w:delText>Dataset je dostupný vo webovom prostredí;</w:delText>
        </w:r>
      </w:del>
    </w:p>
    <w:p>
      <w:pPr>
        <w:pStyle w:val="08Bullet1"/>
        <w:numPr>
          <w:ilvl w:val="0"/>
          <w:numId w:val="2"/>
        </w:numPr>
        <w:rPr>
          <w:rFonts w:eastAsia="Arial Unicode MS"/>
        </w:rPr>
      </w:pPr>
      <w:del w:id="66" w:author="Miroslav Líška" w:date="2017-09-25T21:31:00Z">
        <w:r>
          <w:rPr>
            <w:rFonts w:eastAsia="Arial Unicode MS"/>
          </w:rPr>
          <w:delText>Obsah datasetu je štruktúrovaný tak, že umožňuje automatizované spracovanie;</w:delText>
        </w:r>
      </w:del>
    </w:p>
    <w:p>
      <w:pPr>
        <w:pStyle w:val="08Bullet1"/>
        <w:numPr>
          <w:ilvl w:val="0"/>
          <w:numId w:val="2"/>
        </w:numPr>
        <w:rPr>
          <w:rFonts w:eastAsia="Arial Unicode MS"/>
        </w:rPr>
      </w:pPr>
      <w:del w:id="67" w:author="Miroslav Líška" w:date="2017-09-25T21:31:00Z">
        <w:r>
          <w:rPr>
            <w:rFonts w:eastAsia="Arial Unicode MS"/>
          </w:rPr>
          <w:delText>Dataset je poskytovaný v otvorenom formáte, nezávislom na konkrétnom proprietárnom.softvéri.</w:delText>
        </w:r>
      </w:del>
    </w:p>
    <w:p>
      <w:pPr>
        <w:pStyle w:val="08Bullet1"/>
        <w:numPr>
          <w:ilvl w:val="0"/>
          <w:numId w:val="2"/>
        </w:numPr>
        <w:rPr>
          <w:rFonts w:eastAsia="Arial Unicode MS"/>
        </w:rPr>
      </w:pPr>
      <w:del w:id="68" w:author="Miroslav Líška" w:date="2017-09-25T21:31:00Z">
        <w:r>
          <w:rPr>
            <w:rFonts w:eastAsia="Arial Unicode MS"/>
          </w:rPr>
          <w:delText>Povinné formáty sú: CSV, XML alebo JSON.</w:delText>
        </w:r>
      </w:del>
    </w:p>
    <w:p>
      <w:pPr>
        <w:pStyle w:val="07Nadpisbezsla"/>
        <w:rPr>
          <w:rFonts w:eastAsia="Arial Unicode MS" w:cs="Arial"/>
        </w:rPr>
      </w:pPr>
      <w:del w:id="69" w:author="Miroslav Líška" w:date="2017-09-25T21:31:00Z">
        <w:r>
          <w:rPr>
            <w:rFonts w:eastAsia="Arial Unicode MS"/>
          </w:rPr>
          <w:delText>Úroveň 4</w:delText>
        </w:r>
      </w:del>
      <w:del w:id="70" w:author="Miroslav Líška" w:date="2017-09-25T21:31:00Z">
        <w:r>
          <w:rPr>
            <w:rFonts w:eastAsia="Arial Unicode MS" w:cs="Arial"/>
          </w:rPr>
          <w:delText>*</w:delText>
        </w:r>
      </w:del>
    </w:p>
    <w:p>
      <w:pPr>
        <w:pStyle w:val="08Bullet1"/>
        <w:numPr>
          <w:ilvl w:val="0"/>
          <w:numId w:val="2"/>
        </w:numPr>
        <w:rPr>
          <w:rFonts w:eastAsia="Arial Unicode MS"/>
        </w:rPr>
      </w:pPr>
      <w:del w:id="71" w:author="Miroslav Líška" w:date="2017-09-25T21:31:00Z">
        <w:r>
          <w:rPr>
            <w:rFonts w:eastAsia="Arial Unicode MS"/>
          </w:rPr>
          <w:delText>Dataset je dostupný vo webovom prostredí;</w:delText>
        </w:r>
      </w:del>
    </w:p>
    <w:p>
      <w:pPr>
        <w:pStyle w:val="08Bullet1"/>
        <w:numPr>
          <w:ilvl w:val="0"/>
          <w:numId w:val="2"/>
        </w:numPr>
        <w:rPr>
          <w:rFonts w:eastAsia="Arial Unicode MS"/>
        </w:rPr>
      </w:pPr>
      <w:del w:id="72" w:author="Miroslav Líška" w:date="2017-09-25T21:31:00Z">
        <w:r>
          <w:rPr>
            <w:rFonts w:eastAsia="Arial Unicode MS"/>
          </w:rPr>
          <w:delText>Obsah datasetu je štruktúrovaný tak, že umožňuje automatizované spracovanie;</w:delText>
        </w:r>
      </w:del>
    </w:p>
    <w:p>
      <w:pPr>
        <w:pStyle w:val="08Bullet1"/>
        <w:numPr>
          <w:ilvl w:val="0"/>
          <w:numId w:val="2"/>
        </w:numPr>
        <w:rPr>
          <w:rFonts w:eastAsia="Arial Unicode MS"/>
        </w:rPr>
      </w:pPr>
      <w:del w:id="73" w:author="Miroslav Líška" w:date="2017-09-25T21:31:00Z">
        <w:r>
          <w:rPr>
            <w:rFonts w:eastAsia="Arial Unicode MS"/>
          </w:rPr>
          <w:delText>Dataset je poskytovaný v otvorenom formáte, nezávislom na konkrétnom proprietárnom softvéri;</w:delText>
        </w:r>
      </w:del>
    </w:p>
    <w:p>
      <w:pPr>
        <w:pStyle w:val="08Bullet1"/>
        <w:numPr>
          <w:ilvl w:val="0"/>
          <w:numId w:val="2"/>
        </w:numPr>
        <w:rPr>
          <w:rFonts w:eastAsia="Arial Unicode MS"/>
        </w:rPr>
      </w:pPr>
      <w:del w:id="74" w:author="Miroslav Líška" w:date="2017-09-25T21:31:00Z">
        <w:r>
          <w:rPr>
            <w:rFonts w:eastAsia="Arial Unicode MS"/>
          </w:rPr>
          <w:delText>Na identifikáciu entít datasetu sa používajú referencovateľné identifikátory v podobe URL, čím je možné na tieto entity transparentne odkazovať z ostatných datasetov.</w:delText>
        </w:r>
      </w:del>
    </w:p>
    <w:p>
      <w:pPr>
        <w:pStyle w:val="08Bullet1"/>
        <w:numPr>
          <w:ilvl w:val="0"/>
          <w:numId w:val="2"/>
        </w:numPr>
        <w:rPr>
          <w:rFonts w:eastAsia="Arial Unicode MS"/>
        </w:rPr>
      </w:pPr>
      <w:del w:id="75" w:author="Miroslav Líška" w:date="2017-09-25T21:31:00Z">
        <w:r>
          <w:rPr>
            <w:rFonts w:eastAsia="Arial Unicode MS"/>
          </w:rPr>
          <w:delText>Odporúčané formáty sú: RDF, CSV, XML alebo JSON.</w:delText>
        </w:r>
      </w:del>
    </w:p>
    <w:p>
      <w:pPr>
        <w:pStyle w:val="08Bullet1"/>
        <w:numPr>
          <w:ilvl w:val="0"/>
          <w:numId w:val="2"/>
        </w:numPr>
        <w:rPr>
          <w:rFonts w:eastAsia="Arial Unicode MS"/>
        </w:rPr>
      </w:pPr>
      <w:del w:id="76" w:author="Miroslav Líška" w:date="2017-09-25T21:31:00Z">
        <w:r>
          <w:rPr>
            <w:rFonts w:eastAsia="Arial Unicode MS"/>
          </w:rPr>
          <w:delText>Spôsoby zaznamenania referencovateľného identifikátora:</w:delText>
        </w:r>
      </w:del>
    </w:p>
    <w:p>
      <w:pPr>
        <w:pStyle w:val="09Bullet2"/>
        <w:numPr>
          <w:ilvl w:val="0"/>
          <w:numId w:val="3"/>
        </w:numPr>
        <w:ind w:left="714" w:hanging="357"/>
        <w:rPr>
          <w:rFonts w:eastAsia="Arial Unicode MS"/>
        </w:rPr>
      </w:pPr>
      <w:del w:id="77" w:author="Miroslav Líška" w:date="2017-09-25T21:31:00Z">
        <w:r>
          <w:rPr>
            <w:rFonts w:eastAsia="Arial Unicode MS"/>
          </w:rPr>
          <w:delText>Pre CSV sa vytvorí nový stĺpec pre URL entity. Tento stĺpec sa umiestni vedľa existujúceho stĺpca pre identifikátory entity.</w:delText>
        </w:r>
      </w:del>
    </w:p>
    <w:p>
      <w:pPr>
        <w:pStyle w:val="09Bullet2"/>
        <w:numPr>
          <w:ilvl w:val="0"/>
          <w:numId w:val="3"/>
        </w:numPr>
        <w:ind w:left="714" w:hanging="357"/>
        <w:rPr>
          <w:rFonts w:eastAsia="Arial Unicode MS"/>
        </w:rPr>
      </w:pPr>
      <w:del w:id="78" w:author="Miroslav Líška" w:date="2017-09-25T21:31:00Z">
        <w:r>
          <w:rPr>
            <w:rFonts w:eastAsia="Arial Unicode MS"/>
          </w:rPr>
          <w:delText>Pre XML, sa odporúča využiť na zaznamenanie URL rozšírenie HTML a XML dokumentov nazývané RDFa6</w:delText>
        </w:r>
      </w:del>
      <w:r>
        <w:rPr>
          <w:rStyle w:val="FootnoteAnchor"/>
          <w:rFonts w:eastAsia="Arial Unicode MS"/>
        </w:rPr>
        <w:footnoteReference w:id="6"/>
      </w:r>
      <w:del w:id="79" w:author="Miroslav Líška" w:date="2017-09-25T21:31:00Z">
        <w:r>
          <w:rPr>
            <w:rFonts w:eastAsia="Arial Unicode MS"/>
          </w:rPr>
          <w:delText xml:space="preserve"> (XML atribút </w:delText>
        </w:r>
      </w:del>
      <w:del w:id="80" w:author="Miroslav Líška" w:date="2017-09-25T21:31:00Z">
        <w:r>
          <w:rPr>
            <w:rFonts w:eastAsia="Arial Unicode MS"/>
            <w:i/>
          </w:rPr>
          <w:delText>resource</w:delText>
        </w:r>
      </w:del>
      <w:del w:id="81" w:author="Miroslav Líška" w:date="2017-09-25T21:31:00Z">
        <w:r>
          <w:rPr>
            <w:rFonts w:eastAsia="Arial Unicode MS"/>
          </w:rPr>
          <w:delText>).</w:delText>
        </w:r>
      </w:del>
    </w:p>
    <w:p>
      <w:pPr>
        <w:pStyle w:val="09Bullet2"/>
        <w:numPr>
          <w:ilvl w:val="0"/>
          <w:numId w:val="3"/>
        </w:numPr>
        <w:ind w:left="714" w:hanging="357"/>
        <w:rPr>
          <w:rFonts w:eastAsia="Arial Unicode MS"/>
        </w:rPr>
      </w:pPr>
      <w:del w:id="82" w:author="Miroslav Líška" w:date="2017-09-25T21:31:00Z">
        <w:r>
          <w:rPr>
            <w:rFonts w:eastAsia="Arial Unicode MS"/>
          </w:rPr>
          <w:delText>Pre JSONsa sa odporúča využiť na zaznamenanie URL rozšírenie JSON nazývané JSON-LD7</w:delText>
        </w:r>
      </w:del>
      <w:r>
        <w:rPr>
          <w:rStyle w:val="FootnoteAnchor"/>
          <w:rFonts w:eastAsia="Arial Unicode MS"/>
        </w:rPr>
        <w:footnoteReference w:id="7"/>
      </w:r>
      <w:del w:id="83" w:author="Miroslav Líška" w:date="2017-09-25T21:31:00Z">
        <w:r>
          <w:rPr>
            <w:rFonts w:eastAsia="Arial Unicode MS"/>
          </w:rPr>
          <w:delText xml:space="preserve"> (konštrukcia </w:delText>
        </w:r>
      </w:del>
      <w:del w:id="84" w:author="Miroslav Líška" w:date="2017-09-25T21:31:00Z">
        <w:r>
          <w:rPr>
            <w:rFonts w:eastAsia="Arial Unicode MS"/>
            <w:i/>
          </w:rPr>
          <w:delText>@id</w:delText>
        </w:r>
      </w:del>
      <w:del w:id="85" w:author="Miroslav Líška" w:date="2017-09-25T21:31:00Z">
        <w:r>
          <w:rPr>
            <w:rFonts w:eastAsia="Arial Unicode MS"/>
          </w:rPr>
          <w:delText>).</w:delText>
        </w:r>
      </w:del>
    </w:p>
    <w:p>
      <w:pPr>
        <w:pStyle w:val="07Nadpisbezsla"/>
        <w:rPr>
          <w:rFonts w:eastAsia="Arial Unicode MS" w:cs="Arial"/>
        </w:rPr>
      </w:pPr>
      <w:del w:id="86" w:author="Miroslav Líška" w:date="2017-09-25T21:31:00Z">
        <w:r>
          <w:rPr>
            <w:rFonts w:eastAsia="Arial Unicode MS"/>
          </w:rPr>
          <w:delText>Úroveň 5</w:delText>
        </w:r>
      </w:del>
      <w:del w:id="87" w:author="Miroslav Líška" w:date="2017-09-25T21:31:00Z">
        <w:r>
          <w:rPr>
            <w:rFonts w:eastAsia="Arial Unicode MS" w:cs="Arial"/>
          </w:rPr>
          <w:delText>*</w:delText>
        </w:r>
      </w:del>
    </w:p>
    <w:p>
      <w:pPr>
        <w:pStyle w:val="08Bullet1"/>
        <w:numPr>
          <w:ilvl w:val="0"/>
          <w:numId w:val="2"/>
        </w:numPr>
        <w:rPr>
          <w:rFonts w:eastAsia="Arial Unicode MS"/>
        </w:rPr>
      </w:pPr>
      <w:del w:id="88" w:author="Miroslav Líška" w:date="2017-09-25T21:31:00Z">
        <w:r>
          <w:rPr>
            <w:rFonts w:eastAsia="Arial Unicode MS"/>
          </w:rPr>
          <w:delText>Dataset je dostupný vo webovom prostredí;</w:delText>
        </w:r>
      </w:del>
    </w:p>
    <w:p>
      <w:pPr>
        <w:pStyle w:val="08Bullet1"/>
        <w:numPr>
          <w:ilvl w:val="0"/>
          <w:numId w:val="2"/>
        </w:numPr>
        <w:rPr>
          <w:rFonts w:eastAsia="Arial Unicode MS"/>
        </w:rPr>
      </w:pPr>
      <w:del w:id="89" w:author="Miroslav Líška" w:date="2017-09-25T21:31:00Z">
        <w:r>
          <w:rPr>
            <w:rFonts w:eastAsia="Arial Unicode MS"/>
          </w:rPr>
          <w:delText>Obsah datasetu je štruktúrovaný tak, že umožňuje automatizované spracovanie;</w:delText>
        </w:r>
      </w:del>
    </w:p>
    <w:p>
      <w:pPr>
        <w:pStyle w:val="08Bullet1"/>
        <w:numPr>
          <w:ilvl w:val="0"/>
          <w:numId w:val="2"/>
        </w:numPr>
        <w:rPr>
          <w:rFonts w:eastAsia="Arial Unicode MS"/>
        </w:rPr>
      </w:pPr>
      <w:del w:id="90" w:author="Miroslav Líška" w:date="2017-09-25T21:31:00Z">
        <w:r>
          <w:rPr>
            <w:rFonts w:eastAsia="Arial Unicode MS"/>
          </w:rPr>
          <w:delText>Dataset je poskytovaný v otvorenom formáte, nezávislom na konkrétnom proprietárnom softvéri;</w:delText>
        </w:r>
      </w:del>
    </w:p>
    <w:p>
      <w:pPr>
        <w:pStyle w:val="08Bullet1"/>
        <w:numPr>
          <w:ilvl w:val="0"/>
          <w:numId w:val="2"/>
        </w:numPr>
        <w:rPr>
          <w:rFonts w:eastAsia="Arial Unicode MS"/>
        </w:rPr>
      </w:pPr>
      <w:del w:id="91" w:author="Miroslav Líška" w:date="2017-09-25T21:31:00Z">
        <w:r>
          <w:rPr>
            <w:rFonts w:eastAsia="Arial Unicode MS"/>
          </w:rPr>
          <w:delText>Na identifikáciu entít datasetu sa používajú refencovateľné identifikátory;</w:delText>
        </w:r>
      </w:del>
    </w:p>
    <w:p>
      <w:pPr>
        <w:pStyle w:val="08Bullet1"/>
        <w:numPr>
          <w:ilvl w:val="0"/>
          <w:numId w:val="2"/>
        </w:numPr>
        <w:rPr/>
      </w:pPr>
      <w:del w:id="92" w:author="Miroslav Líška" w:date="2017-09-25T21:31:00Z">
        <w:r>
          <w:rPr>
            <w:rFonts w:eastAsia="Arial Unicode MS"/>
          </w:rPr>
          <w:delText>Navyše sú prelinkované referencovateľnými identifikátormi aj iné súvisiace entity v iných datasetoch – ide tak o formát otvorených dát „LinkedData“, v ktorom sú URL zaznamenané ideálne pomocou štandardu TTL</w:delText>
        </w:r>
      </w:del>
      <w:r>
        <w:rPr>
          <w:rStyle w:val="FootnoteAnchor"/>
          <w:rFonts w:eastAsia="Arial Unicode MS"/>
        </w:rPr>
        <w:footnoteReference w:id="8"/>
      </w:r>
      <w:del w:id="93" w:author="Miroslav Líška" w:date="2017-09-25T21:31:00Z">
        <w:r>
          <w:rPr>
            <w:rFonts w:eastAsia="Arial Unicode MS"/>
          </w:rPr>
          <w:delText xml:space="preserve">. </w:delText>
        </w:r>
      </w:del>
    </w:p>
    <w:p>
      <w:pPr>
        <w:pStyle w:val="07Nadpisbezsla"/>
        <w:rPr>
          <w:rFonts w:eastAsia="Arial Unicode MS"/>
        </w:rPr>
      </w:pPr>
      <w:del w:id="94" w:author="Miroslav Líška" w:date="2017-09-25T21:31:00Z">
        <w:r>
          <w:rPr>
            <w:rFonts w:eastAsia="Arial Unicode MS"/>
          </w:rPr>
          <w:delText>Každá URL publikovaných entít je dereferencovateľná, to znamená, že aplikácia získa prístupom na danú URL strojovo čitateľnú reprezentáciu entity v RDF modeli.</w:delText>
        </w:r>
      </w:del>
    </w:p>
    <w:p>
      <w:pPr>
        <w:pStyle w:val="Heading2"/>
        <w:numPr>
          <w:ilvl w:val="1"/>
          <w:numId w:val="8"/>
        </w:numPr>
        <w:rPr>
          <w:rFonts w:cs="Arial"/>
        </w:rPr>
      </w:pPr>
      <w:bookmarkStart w:id="52" w:name="_Toc367325038"/>
      <w:bookmarkEnd w:id="52"/>
      <w:r>
        <w:rPr>
          <w:rStyle w:val="Strong1"/>
          <w:rFonts w:cs="Arial"/>
        </w:rPr>
        <w:t>Štandardy ISVS</w:t>
      </w:r>
    </w:p>
    <w:p>
      <w:pPr>
        <w:pStyle w:val="Normal"/>
        <w:rPr>
          <w:rFonts w:cs="Times"/>
        </w:rPr>
      </w:pPr>
      <w:r>
        <w:rPr/>
        <w:t>V zmysle platných štandardov pre ISVS je prebratá vyššie uvedená metodika hodnotenia kvality údajov a stanovená je po</w:t>
      </w:r>
      <w:r>
        <w:rPr>
          <w:rFonts w:ascii="Times New Roman" w:hAnsi="Times New Roman"/>
        </w:rPr>
        <w:t>ž</w:t>
      </w:r>
      <w:r>
        <w:rPr/>
        <w:t xml:space="preserve">iadavka na minimálnu kvalitu údajov </w:t>
      </w:r>
      <w:ins w:id="95" w:author="Miroslav Líška" w:date="2017-09-26T11:43:09Z">
        <w:r>
          <w:rPr/>
          <w:t>nasledovne:</w:t>
        </w:r>
      </w:ins>
      <w:del w:id="96" w:author="Miroslav Líška" w:date="2017-09-26T11:43:13Z">
        <w:r>
          <w:rPr/>
          <w:delText xml:space="preserve">ako dosiahnutie úrovne 3 hviezdičky, t.j. dataset </w:delText>
          <w:br/>
          <w:delText xml:space="preserve">je v elektronickej forme, je dostupný vo webovom prostredí, obsah datasetu je štruktúrovaný, </w:delText>
          <w:br/>
        </w:r>
      </w:del>
      <w:del w:id="97" w:author="Miroslav Líška" w:date="2017-09-26T11:43:13Z">
        <w:r>
          <w:rPr>
            <w:rFonts w:ascii="Times New Roman" w:hAnsi="Times New Roman"/>
          </w:rPr>
          <w:delText>č</w:delText>
        </w:r>
      </w:del>
      <w:del w:id="98" w:author="Miroslav Líška" w:date="2017-09-26T11:43:13Z">
        <w:r>
          <w:rPr/>
          <w:delText>o umo</w:delText>
        </w:r>
      </w:del>
      <w:del w:id="99" w:author="Miroslav Líška" w:date="2017-09-26T11:43:13Z">
        <w:r>
          <w:rPr>
            <w:rFonts w:ascii="Times New Roman" w:hAnsi="Times New Roman"/>
          </w:rPr>
          <w:delText>žň</w:delText>
        </w:r>
      </w:del>
      <w:del w:id="100" w:author="Miroslav Líška" w:date="2017-09-26T11:43:13Z">
        <w:r>
          <w:rPr/>
          <w:delText xml:space="preserve">uje automatizované spracovanie a je poskytovaný v otvorenom formáte, nezávislom </w:delText>
          <w:br/>
          <w:delText>na konkrétnom softvéri</w:delText>
        </w:r>
      </w:del>
      <w:del w:id="101" w:author="Miroslav Líška" w:date="2017-09-26T11:43:13Z">
        <w:r>
          <w:rPr>
            <w:rFonts w:cs="Times"/>
          </w:rPr>
          <w:delText>.</w:delText>
        </w:r>
      </w:del>
    </w:p>
    <w:p>
      <w:pPr>
        <w:pStyle w:val="Normal"/>
        <w:rPr>
          <w:rFonts w:cs="Times"/>
        </w:rPr>
      </w:pPr>
      <w:ins w:id="102" w:author="Miroslav Líška" w:date="2017-09-26T11:43:14Z">
        <w:r>
          <w:rPr/>
        </w:r>
      </w:ins>
    </w:p>
    <w:p>
      <w:pPr>
        <w:pStyle w:val="Normal"/>
        <w:rPr/>
      </w:pPr>
      <w:ins w:id="103" w:author="Miroslav Líška" w:date="2017-09-26T11:43:14Z">
        <w:r>
          <w:rPr>
            <w:rFonts w:cs="Times"/>
          </w:rPr>
          <w:commentReference w:id="2"/>
        </w:r>
      </w:ins>
      <w:ins w:id="104" w:author="Miroslav Líška" w:date="2017-09-26T11:43:14Z">
        <w:r>
          <w:rPr>
            <w:rFonts w:cs="Times"/>
          </w:rPr>
          <w:t>Definícia: Pravidlá pre úrovne interoperability otvorených verejných údajov</w:t>
        </w:r>
      </w:ins>
    </w:p>
    <w:tbl>
      <w:tblPr>
        <w:tblW w:w="9638" w:type="dxa"/>
        <w:jc w:val="left"/>
        <w:tblInd w:w="55"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1926"/>
        <w:gridCol w:w="7712"/>
      </w:tblGrid>
      <w:tr>
        <w:trPr/>
        <w:tc>
          <w:tcPr>
            <w:tcW w:w="1926" w:type="dxa"/>
            <w:tcBorders>
              <w:top w:val="single" w:sz="2" w:space="0" w:color="000001"/>
              <w:left w:val="single" w:sz="2" w:space="0" w:color="000001"/>
              <w:bottom w:val="single" w:sz="2" w:space="0" w:color="000001"/>
              <w:insideH w:val="single" w:sz="2" w:space="0" w:color="000001"/>
            </w:tcBorders>
            <w:shd w:fill="EEEEEE" w:val="clear"/>
            <w:tcMar>
              <w:left w:w="51" w:type="dxa"/>
            </w:tcMar>
          </w:tcPr>
          <w:p>
            <w:pPr>
              <w:pStyle w:val="Obsahtabuky"/>
              <w:spacing w:before="0" w:after="60"/>
              <w:jc w:val="center"/>
              <w:rPr/>
            </w:pPr>
            <w:ins w:id="105" w:author="Miroslav Líška" w:date="2017-09-26T11:43:14Z">
              <w:r>
                <w:rPr>
                  <w:rFonts w:eastAsia="Times New Roman"/>
                </w:rPr>
                <w:t>Požadovaná úroveň interoperability</w:t>
              </w:r>
            </w:ins>
          </w:p>
        </w:tc>
        <w:tc>
          <w:tcPr>
            <w:tcW w:w="7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tcMar>
              <w:left w:w="51" w:type="dxa"/>
            </w:tcMar>
          </w:tcPr>
          <w:p>
            <w:pPr>
              <w:pStyle w:val="Obsahtabuky"/>
              <w:spacing w:before="0" w:after="60"/>
              <w:rPr/>
            </w:pPr>
            <w:ins w:id="106" w:author="Miroslav Líška" w:date="2017-09-26T11:43:14Z">
              <w:r>
                <w:rPr>
                  <w:rFonts w:eastAsia="Times New Roman"/>
                </w:rPr>
                <w:t>Otvorené údaje</w:t>
              </w:r>
            </w:ins>
          </w:p>
        </w:tc>
      </w:tr>
      <w:tr>
        <w:trPr/>
        <w:tc>
          <w:tcPr>
            <w:tcW w:w="1926"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jc w:val="center"/>
              <w:rPr/>
            </w:pPr>
            <w:ins w:id="107" w:author="Miroslav Líška" w:date="2017-09-26T11:46:05Z">
              <w:r>
                <w:rPr>
                  <w:rFonts w:eastAsia="Times New Roman"/>
                </w:rPr>
                <w:t>3</w:t>
              </w:r>
            </w:ins>
            <w:ins w:id="108" w:author="Miroslav Líška" w:date="2017-09-26T11:43:14Z">
              <w:r>
                <w:rPr>
                  <w:rFonts w:eastAsia="Times New Roman"/>
                </w:rPr>
                <w:t>★</w:t>
              </w:r>
            </w:ins>
          </w:p>
        </w:tc>
        <w:tc>
          <w:tcPr>
            <w:tcW w:w="7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Obsahtabuky"/>
              <w:spacing w:before="0" w:after="60"/>
              <w:rPr/>
            </w:pPr>
            <w:ins w:id="109" w:author="Miroslav Líška" w:date="2017-09-26T11:46:15Z">
              <w:r>
                <w:rPr>
                  <w:rFonts w:eastAsia="Times New Roman"/>
                </w:rPr>
                <w:t>Všetky existujúce otvorené údaje, ktoré nie sú súčasťou nových alebo inovovaných ISVS publikujúcich otvorené údaj </w:t>
              </w:r>
            </w:ins>
            <w:ins w:id="110" w:author="Miroslav Líška" w:date="2017-09-26T11:53:53Z">
              <w:r>
                <w:rPr>
                  <w:rFonts w:eastAsia="Times New Roman"/>
                </w:rPr>
                <w:t>(tzv. publikačné minimum)</w:t>
              </w:r>
            </w:ins>
          </w:p>
        </w:tc>
      </w:tr>
      <w:tr>
        <w:trPr/>
        <w:tc>
          <w:tcPr>
            <w:tcW w:w="1926"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jc w:val="center"/>
              <w:rPr/>
            </w:pPr>
            <w:ins w:id="111" w:author="Miroslav Líška" w:date="2017-09-26T11:46:07Z">
              <w:r>
                <w:rPr>
                  <w:rFonts w:eastAsia="Times New Roman"/>
                </w:rPr>
                <w:t>4</w:t>
              </w:r>
            </w:ins>
            <w:ins w:id="112" w:author="Miroslav Líška" w:date="2017-09-26T11:43:14Z">
              <w:r>
                <w:rPr>
                  <w:rFonts w:eastAsia="Times New Roman"/>
                </w:rPr>
                <w:t>★</w:t>
              </w:r>
            </w:ins>
          </w:p>
        </w:tc>
        <w:tc>
          <w:tcPr>
            <w:tcW w:w="7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extBody"/>
              <w:spacing w:before="130" w:after="130"/>
              <w:rPr/>
            </w:pPr>
            <w:ins w:id="113" w:author="Miroslav Líška" w:date="2017-09-26T11:46:26Z">
              <w:r>
                <w:rPr>
                  <w:rFonts w:eastAsia="Times New Roman"/>
                </w:rPr>
                <w:t>Všetky nové a inovované ISVS publikujúce otvorené údaje</w:t>
              </w:r>
            </w:ins>
          </w:p>
          <w:p>
            <w:pPr>
              <w:pStyle w:val="TextBody"/>
              <w:spacing w:before="130" w:after="130"/>
              <w:jc w:val="both"/>
              <w:rPr/>
            </w:pPr>
            <w:ins w:id="114" w:author="Miroslav Líška" w:date="2017-09-26T11:46:26Z">
              <w:r>
                <w:rPr/>
                <w:t>Maximálna úroveň pre identifikátory fyzických osôb</w:t>
              </w:r>
            </w:ins>
          </w:p>
        </w:tc>
      </w:tr>
      <w:tr>
        <w:trPr/>
        <w:tc>
          <w:tcPr>
            <w:tcW w:w="1926"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Obsahtabuky"/>
              <w:spacing w:before="0" w:after="60"/>
              <w:jc w:val="center"/>
              <w:rPr/>
            </w:pPr>
            <w:ins w:id="115" w:author="Miroslav Líška" w:date="2017-09-26T11:46:08Z">
              <w:r>
                <w:rPr>
                  <w:rFonts w:eastAsia="Times New Roman"/>
                </w:rPr>
                <w:t>5</w:t>
              </w:r>
            </w:ins>
            <w:ins w:id="116" w:author="Miroslav Líška" w:date="2017-09-26T11:43:14Z">
              <w:r>
                <w:rPr>
                  <w:rFonts w:eastAsia="Times New Roman"/>
                </w:rPr>
                <w:t>★</w:t>
              </w:r>
            </w:ins>
          </w:p>
        </w:tc>
        <w:tc>
          <w:tcPr>
            <w:tcW w:w="771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extBody"/>
              <w:spacing w:before="130" w:after="130"/>
              <w:rPr>
                <w:rFonts w:eastAsia="Times New Roman"/>
              </w:rPr>
            </w:pPr>
            <w:ins w:id="117" w:author="Miroslav Líška" w:date="2017-09-26T11:46:42Z">
              <w:r>
                <w:rPr>
                  <w:rFonts w:eastAsia="Times New Roman"/>
                </w:rPr>
                <w:t>Pre všetky nové a inovované ISVS publikujúce otvorené údaje s centrálnou povahou (referenčné údaje, centrálne registre, údaje v rozsahu metais, resp. prioritné datasety, publikačné minimum samosprávy, publikované údaje a poskytované elektronické služby miest a obcí - DCOM)</w:t>
              </w:r>
            </w:ins>
          </w:p>
        </w:tc>
      </w:tr>
    </w:tbl>
    <w:p>
      <w:pPr>
        <w:pStyle w:val="Normal"/>
        <w:rPr>
          <w:rFonts w:cs="Times"/>
          <w:ins w:id="119" w:author="Miroslav Líška" w:date="2017-09-26T11:43:14Z"/>
        </w:rPr>
      </w:pPr>
      <w:ins w:id="118" w:author="Miroslav Líška" w:date="2017-09-26T11:43:14Z">
        <w:r>
          <w:rPr/>
        </w:r>
      </w:ins>
    </w:p>
    <w:p>
      <w:pPr>
        <w:pStyle w:val="Normal"/>
        <w:rPr/>
      </w:pPr>
      <w:r>
        <w:rPr>
          <w:rFonts w:cs="Times"/>
        </w:rPr>
        <w:t xml:space="preserve"> </w:t>
      </w:r>
    </w:p>
    <w:p>
      <w:pPr>
        <w:pStyle w:val="Heading2"/>
        <w:numPr>
          <w:ilvl w:val="1"/>
          <w:numId w:val="8"/>
        </w:numPr>
        <w:rPr/>
      </w:pPr>
      <w:bookmarkStart w:id="53" w:name="_Toc367325039"/>
      <w:bookmarkEnd w:id="53"/>
      <w:r>
        <w:rPr/>
        <w:t>Určenie kvality datasetu</w:t>
      </w:r>
    </w:p>
    <w:p>
      <w:pPr>
        <w:pStyle w:val="06Normal"/>
        <w:rPr/>
      </w:pPr>
      <w:r>
        <w:rPr>
          <w:rFonts w:eastAsia="Arial Unicode MS"/>
        </w:rPr>
        <w:t xml:space="preserve">Povinná osoba </w:t>
      </w:r>
      <w:del w:id="120" w:author="Miroslav Líška" w:date="2017-09-26T11:52:52Z">
        <w:r>
          <w:rPr>
            <w:rFonts w:eastAsia="Arial Unicode MS"/>
          </w:rPr>
          <w:delText>určí</w:delText>
        </w:r>
      </w:del>
      <w:ins w:id="121" w:author="Miroslav Líška" w:date="2017-09-26T11:52:55Z">
        <w:r>
          <w:rPr>
            <w:rFonts w:eastAsia="Arial Unicode MS"/>
          </w:rPr>
          <w:t xml:space="preserve">navrhne </w:t>
        </w:r>
      </w:ins>
      <w:del w:id="122" w:author="Miroslav Líška" w:date="2017-09-26T11:53:01Z">
        <w:r>
          <w:rPr>
            <w:rFonts w:eastAsia="Arial Unicode MS"/>
          </w:rPr>
          <w:delText xml:space="preserve"> </w:delText>
        </w:r>
      </w:del>
      <w:r>
        <w:rPr>
          <w:rFonts w:eastAsia="Arial Unicode MS"/>
        </w:rPr>
        <w:t>kvalitu (počet hviezdičiek) jednotlivých datasetov podľa štandardu a zaznačí do mapy datasetov a zoznamu potenciálnych datasetov uroveň aktualnej kvality každého datasetu</w:t>
      </w:r>
      <w:ins w:id="123" w:author="Miroslav Líška" w:date="2017-09-26T11:53:10Z">
        <w:r>
          <w:rPr>
            <w:rFonts w:eastAsia="Arial Unicode MS"/>
          </w:rPr>
          <w:t xml:space="preserve">, </w:t>
        </w:r>
      </w:ins>
      <w:ins w:id="124" w:author="Miroslav Líška" w:date="2017-09-26T11:53:10Z">
        <w:r>
          <w:rPr>
            <w:rFonts w:eastAsia="Arial Unicode MS"/>
          </w:rPr>
          <w:t>pričom táto úroveň je potvrdzovaná Centrálnou dátovou kanceláriou</w:t>
        </w:r>
      </w:ins>
      <w:r>
        <w:rPr>
          <w:rFonts w:eastAsia="Arial Unicode MS"/>
        </w:rPr>
        <w:t>.</w:t>
      </w:r>
    </w:p>
    <w:p>
      <w:pPr>
        <w:pStyle w:val="Heading2"/>
        <w:numPr>
          <w:ilvl w:val="1"/>
          <w:numId w:val="8"/>
        </w:numPr>
        <w:rPr>
          <w:rFonts w:eastAsia="Arial Unicode MS"/>
        </w:rPr>
      </w:pPr>
      <w:bookmarkStart w:id="54" w:name="_Toc367325040"/>
      <w:bookmarkEnd w:id="54"/>
      <w:r>
        <w:rPr/>
        <w:t>Náročnosť zverejnenia</w:t>
      </w:r>
    </w:p>
    <w:p>
      <w:pPr>
        <w:pStyle w:val="06Normal"/>
        <w:rPr>
          <w:rFonts w:eastAsia="Arial Unicode MS"/>
        </w:rPr>
      </w:pPr>
      <w:ins w:id="125" w:author="Miroslav Líška" w:date="2017-09-26T11:53:40Z">
        <w:r>
          <w:rPr>
            <w:rFonts w:eastAsia="Arial Unicode MS"/>
          </w:rPr>
          <w:commentReference w:id="3"/>
        </w:r>
      </w:ins>
      <w:del w:id="126" w:author="Miroslav Líška" w:date="2017-09-26T11:53:33Z">
        <w:r>
          <w:rPr>
            <w:rFonts w:eastAsia="Arial Unicode MS"/>
          </w:rPr>
          <w:delText>Minimálna úroveň kvality datasetu otvorených dát, ktoré povinná osoba publikuje, je úroveň 3</w:delText>
        </w:r>
      </w:del>
      <w:del w:id="127" w:author="Miroslav Líška" w:date="2017-09-26T11:53:33Z">
        <w:r>
          <w:rPr>
            <w:rFonts w:eastAsia="Arial Unicode MS" w:cs="Arial"/>
          </w:rPr>
          <w:delText xml:space="preserve"> hviezdičky</w:delText>
        </w:r>
      </w:del>
      <w:del w:id="128" w:author="Miroslav Líška" w:date="2017-09-26T11:53:33Z">
        <w:r>
          <w:rPr>
            <w:rFonts w:eastAsia="Arial Unicode MS"/>
          </w:rPr>
          <w:delText>.</w:delText>
        </w:r>
      </w:del>
    </w:p>
    <w:p>
      <w:pPr>
        <w:pStyle w:val="06Normal"/>
        <w:rPr/>
      </w:pPr>
      <w:r>
        <w:rPr/>
        <w:t xml:space="preserve">Náročnosť zverejnenia sa </w:t>
      </w:r>
      <w:del w:id="129" w:author="Miroslav Líška" w:date="2017-09-26T11:57:59Z">
        <w:r>
          <w:rPr/>
          <w:delText>počíta</w:delText>
        </w:r>
      </w:del>
      <w:ins w:id="130" w:author="Miroslav Líška" w:date="2017-09-26T11:57:59Z">
        <w:r>
          <w:rPr/>
          <w:t>d</w:t>
        </w:r>
      </w:ins>
      <w:ins w:id="131" w:author="Miroslav Líška" w:date="2017-09-26T11:58:00Z">
        <w:r>
          <w:rPr/>
          <w:t>efinuje</w:t>
        </w:r>
      </w:ins>
      <w:r>
        <w:rPr/>
        <w:t xml:space="preserve"> pre každý potenciálny dataset, aby ju bolo možné porovnávať medzi jednotlivými datasetmi. Náročnosť zverejnenia ovplyvňujú tieto parametre:</w:t>
      </w:r>
    </w:p>
    <w:p>
      <w:pPr>
        <w:pStyle w:val="08Bullet1"/>
        <w:numPr>
          <w:ilvl w:val="0"/>
          <w:numId w:val="2"/>
        </w:numPr>
        <w:rPr>
          <w:b/>
          <w:b/>
        </w:rPr>
      </w:pPr>
      <w:r>
        <w:rPr>
          <w:b/>
        </w:rPr>
        <w:t>Zložitosť datasetu</w:t>
      </w:r>
      <w:r>
        <w:rPr/>
        <w:t>, ktorá vyjadruje, ako bude zložité transformovať dataset zo súčaného formátu do cieľového formátu pre zverejnenie. Z toho vyplýva, že čím menej zmien je potrebných, tým nižšia bude náročnosť zverejnenia;</w:t>
      </w:r>
    </w:p>
    <w:p>
      <w:pPr>
        <w:pStyle w:val="08Bullet1"/>
        <w:numPr>
          <w:ilvl w:val="0"/>
          <w:numId w:val="2"/>
        </w:numPr>
        <w:rPr>
          <w:b/>
          <w:b/>
        </w:rPr>
      </w:pPr>
      <w:r>
        <w:rPr>
          <w:b/>
        </w:rPr>
        <w:t>Anonymizácia</w:t>
      </w:r>
      <w:r>
        <w:rPr/>
        <w:t xml:space="preserve"> – ak je nevyhnutné dataset pred publikovaním anonymizovať, zvyšuje sa náročnosť zverejnenia. Ak aj anonymizácia prebieha automatizovane, musí sa jej výsledok skontrolovať, aby sa predišlo riziku narušenia súkromia alebo úniku obchodného tajomstva či utajovaných skutočností, čo môže vyžadovať viacero manuálnych operácií;</w:t>
      </w:r>
    </w:p>
    <w:p>
      <w:pPr>
        <w:pStyle w:val="08Bullet1"/>
        <w:numPr>
          <w:ilvl w:val="0"/>
          <w:numId w:val="2"/>
        </w:numPr>
        <w:rPr>
          <w:b/>
          <w:b/>
        </w:rPr>
      </w:pPr>
      <w:r>
        <w:rPr>
          <w:b/>
        </w:rPr>
        <w:t xml:space="preserve">Rozsah manuálnych operácií </w:t>
      </w:r>
      <w:r>
        <w:rPr/>
        <w:t>určuje nutný čas odborných zamestnancov venovaný ich výkonu – manuálne operácie môžu byť spojené s anonymizáciou alebo transformáciou datasetov či kontrolou výsledkov automatizovaných nástrojov;</w:t>
      </w:r>
    </w:p>
    <w:p>
      <w:pPr>
        <w:pStyle w:val="08Bullet1"/>
        <w:numPr>
          <w:ilvl w:val="0"/>
          <w:numId w:val="2"/>
        </w:numPr>
        <w:rPr>
          <w:b/>
          <w:b/>
        </w:rPr>
      </w:pPr>
      <w:r>
        <w:rPr>
          <w:b/>
        </w:rPr>
        <w:t>Veľkosť datasetu</w:t>
      </w:r>
      <w:r>
        <w:rPr/>
        <w:t xml:space="preserve"> – čím väčší dataset, tým časovo náročnejšie sú všetky manuálne operácie nad ním a zdrojovo náročnejšie je jeho publikovanie, ukladanie a aktualizovanie.</w:t>
      </w:r>
    </w:p>
    <w:p>
      <w:pPr>
        <w:pStyle w:val="08Bullet1"/>
        <w:numPr>
          <w:ilvl w:val="0"/>
          <w:numId w:val="2"/>
        </w:numPr>
        <w:rPr/>
      </w:pPr>
      <w:r>
        <w:rPr>
          <w:b/>
        </w:rPr>
        <w:t xml:space="preserve">Cieľová periodicita zverejnenia </w:t>
      </w:r>
      <w:r>
        <w:rPr/>
        <w:t xml:space="preserve">ovplyvňuje celkový odhad náročnosti na dané časové obdobie, pretože určuje, koľkokrát sa úkonov nevyhnutné pre prípravu a publikovanie datasetu budú opakovať. Odhadovaná náročnosť úkonov sa preto prenásobí počtom opakovaní pre dané časové obdobie. Avšak v niektorých prípadoch sa náročnosť opakovaných úkonov počas spravovania datasetu znižuje vďaka zvyšovaniu efektivity úkonov. Na zohľadnenie tejto zvýšenej efektivity sa môžu do vzorca pridať príslušné koeficienty. </w:t>
      </w:r>
    </w:p>
    <w:p>
      <w:pPr>
        <w:pStyle w:val="06Normal"/>
        <w:rPr/>
      </w:pPr>
      <w:r>
        <w:rPr/>
        <w:t xml:space="preserve">Povinná osoba určí a zaznamená do </w:t>
      </w:r>
      <w:r>
        <w:rPr>
          <w:rFonts w:eastAsia="Arial Unicode MS"/>
        </w:rPr>
        <w:t>mapy datasetov a zoznamu potenciálnych datasetov</w:t>
      </w:r>
      <w:r>
        <w:rPr/>
        <w:t xml:space="preserve"> výslednú náročnosť zverejnenia pre každý dataset v rozsahu:</w:t>
      </w:r>
    </w:p>
    <w:p>
      <w:pPr>
        <w:pStyle w:val="06Normal"/>
        <w:numPr>
          <w:ilvl w:val="0"/>
          <w:numId w:val="7"/>
        </w:numPr>
        <w:rPr/>
      </w:pPr>
      <w:r>
        <w:rPr/>
        <w:t>Náklady prevyšujúce prínos zverejnenia;</w:t>
      </w:r>
    </w:p>
    <w:p>
      <w:pPr>
        <w:pStyle w:val="06Normal"/>
        <w:numPr>
          <w:ilvl w:val="0"/>
          <w:numId w:val="7"/>
        </w:numPr>
        <w:rPr/>
      </w:pPr>
      <w:r>
        <w:rPr/>
        <w:t>Veľmi vysoké náklady;</w:t>
      </w:r>
    </w:p>
    <w:p>
      <w:pPr>
        <w:pStyle w:val="06Normal"/>
        <w:numPr>
          <w:ilvl w:val="0"/>
          <w:numId w:val="7"/>
        </w:numPr>
        <w:rPr/>
      </w:pPr>
      <w:r>
        <w:rPr/>
        <w:t>Vysoké náklady;</w:t>
      </w:r>
    </w:p>
    <w:p>
      <w:pPr>
        <w:pStyle w:val="06Normal"/>
        <w:numPr>
          <w:ilvl w:val="0"/>
          <w:numId w:val="7"/>
        </w:numPr>
        <w:rPr/>
      </w:pPr>
      <w:r>
        <w:rPr/>
        <w:t>Stredné náklady;</w:t>
      </w:r>
    </w:p>
    <w:p>
      <w:pPr>
        <w:pStyle w:val="06Normal"/>
        <w:numPr>
          <w:ilvl w:val="0"/>
          <w:numId w:val="7"/>
        </w:numPr>
        <w:rPr/>
      </w:pPr>
      <w:r>
        <w:rPr/>
        <w:t>Nízke náklady;</w:t>
      </w:r>
    </w:p>
    <w:p>
      <w:pPr>
        <w:pStyle w:val="06Normal"/>
        <w:numPr>
          <w:ilvl w:val="0"/>
          <w:numId w:val="7"/>
        </w:numPr>
        <w:rPr/>
      </w:pPr>
      <w:r>
        <w:rPr/>
        <w:t>Veľmi nízke náklady.</w:t>
      </w:r>
    </w:p>
    <w:p>
      <w:pPr>
        <w:pStyle w:val="Normal"/>
        <w:rPr/>
      </w:pPr>
      <w:r>
        <w:rPr/>
      </w:r>
    </w:p>
    <w:p>
      <w:pPr>
        <w:pStyle w:val="Normal"/>
        <w:rPr/>
      </w:pPr>
      <w:r>
        <w:rPr/>
        <w:t>Inšpiráciou je výstup medzinárodného projektu COMSODE</w:t>
      </w:r>
      <w:r>
        <w:rPr>
          <w:rStyle w:val="FootnoteAnchor"/>
        </w:rPr>
        <w:footnoteReference w:id="9"/>
      </w:r>
      <w:r>
        <w:rPr/>
        <w:t>, ktorý sa snaží odstrániť bariéry pri zverejňovaní otvorených dát. V rámci Slovenskej republiky sa projekt COMSODE zaoberal 90 zaujímavými datasetmi v oblastiach znázornených na nasledujúcom obrázku. Pre jednotlivé datasety bola odhadnutá aj náročnosť ich publikovania.</w:t>
      </w:r>
    </w:p>
    <w:p>
      <w:pPr>
        <w:pStyle w:val="Caption1"/>
        <w:keepNext/>
        <w:jc w:val="both"/>
        <w:rPr/>
      </w:pPr>
      <w:r>
        <w:rPr/>
        <w:t>Inšpirácia pre identifikovanie datasetov</w:t>
      </w:r>
    </w:p>
    <w:p>
      <w:pPr>
        <w:pStyle w:val="06Normal"/>
        <w:rPr>
          <w:rFonts w:eastAsia="Arial Unicode MS"/>
        </w:rPr>
      </w:pPr>
      <w:r>
        <w:rPr/>
        <w:drawing>
          <wp:inline distT="0" distB="0" distL="0" distR="0">
            <wp:extent cx="5253355" cy="2845435"/>
            <wp:effectExtent l="0" t="0" r="0" b="0"/>
            <wp:docPr id="9" name="Obrázo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ok1" descr=""/>
                    <pic:cNvPicPr>
                      <a:picLocks noChangeAspect="1" noChangeArrowheads="1"/>
                    </pic:cNvPicPr>
                  </pic:nvPicPr>
                  <pic:blipFill>
                    <a:blip r:embed="rId11"/>
                    <a:stretch>
                      <a:fillRect/>
                    </a:stretch>
                  </pic:blipFill>
                  <pic:spPr bwMode="auto">
                    <a:xfrm>
                      <a:off x="0" y="0"/>
                      <a:ext cx="5253355" cy="2845435"/>
                    </a:xfrm>
                    <a:prstGeom prst="rect">
                      <a:avLst/>
                    </a:prstGeom>
                  </pic:spPr>
                </pic:pic>
              </a:graphicData>
            </a:graphic>
          </wp:inline>
        </w:drawing>
      </w:r>
    </w:p>
    <w:p>
      <w:pPr>
        <w:pStyle w:val="Normal"/>
        <w:rPr/>
      </w:pPr>
      <w:r>
        <w:rPr/>
      </w:r>
    </w:p>
    <w:p>
      <w:pPr>
        <w:pStyle w:val="Heading1"/>
        <w:numPr>
          <w:ilvl w:val="0"/>
          <w:numId w:val="8"/>
        </w:numPr>
        <w:rPr/>
      </w:pPr>
      <w:del w:id="132" w:author="Miroslav Líška" w:date="2017-09-26T11:59:04Z">
        <w:r>
          <w:rPr/>
          <w:delText>Vytváranie</w:delText>
        </w:r>
      </w:del>
      <w:ins w:id="133" w:author="Miroslav Líška" w:date="2017-09-26T11:59:04Z">
        <w:r>
          <w:rPr/>
          <w:t>Používanie</w:t>
        </w:r>
      </w:ins>
      <w:r>
        <w:rPr/>
        <w:t xml:space="preserve"> referencovateľných identifikátorov</w:t>
      </w:r>
    </w:p>
    <w:p>
      <w:pPr>
        <w:pStyle w:val="06Normal"/>
        <w:rPr/>
      </w:pPr>
      <w:r>
        <w:rPr/>
        <w:t xml:space="preserve">Datasety </w:t>
      </w:r>
      <w:ins w:id="134" w:author="Miroslav Líška" w:date="2017-09-26T11:59:17Z">
        <w:r>
          <w:rPr/>
          <w:t>v kvalite interoperability úrovne 4</w:t>
        </w:r>
      </w:ins>
      <w:ins w:id="135" w:author="Miroslav Líška" w:date="2017-09-26T11:59:17Z">
        <w:r>
          <w:rPr>
            <w:rFonts w:eastAsia="Times New Roman"/>
          </w:rPr>
          <w:t xml:space="preserve">★ a 5★ používajú na identifikovanie entít Jednotné referencovateľné identifikátory (URI), ktoré pre úroveň 5★ musia byť registrované v Centrálnom metainformačnom systéme prostredníctvom Centrálnej dátovej kancelárie. Formát regulérnych URI identifikátorov musí byť v zhode so schválených štandardom A,2 Pravidlá tvorby URI identifikátorov pracovnou skupinou PS1. V </w:t>
        </w:r>
      </w:ins>
      <w:ins w:id="136" w:author="Miroslav Líška" w:date="2017-09-26T11:59:17Z">
        <w:r>
          <w:rPr>
            <w:rFonts w:eastAsia="Times New Roman" w:cs="Times New Roman"/>
            <w:color w:val="00000A"/>
            <w:sz w:val="20"/>
            <w:szCs w:val="20"/>
            <w:lang w:val="sk-SK" w:eastAsia="en-US" w:bidi="ar-SA"/>
          </w:rPr>
          <w:t>tomto prípade, tj 5★ bude zabezpečená tzv. dereferenciácia daného zdroja, tj. ak je známe URI nejakej entity (objekt reálneho sveta, dataset, dátový prvkov a podobne)  tak k uvedenému zdroju možné pristúpiť prostredníctvom prehliadača, alebo aplikačného rozhrania. Spôsob dereferenciácie bol tiež schválený na pracovnej skupine PS1 pre dátové štandardy.</w:t>
        </w:r>
      </w:ins>
      <w:ins w:id="137" w:author="Miroslav Líška" w:date="2017-09-26T11:59:17Z">
        <w:r>
          <w:rPr>
            <w:rFonts w:eastAsia="Times New Roman" w:cs="Times New Roman"/>
            <w:color w:val="00000A"/>
            <w:sz w:val="20"/>
            <w:szCs w:val="20"/>
            <w:lang w:val="sk-SK" w:eastAsia="en-US" w:bidi="ar-SA"/>
          </w:rPr>
          <w:commentReference w:id="4"/>
        </w:r>
      </w:ins>
      <w:ins w:id="138" w:author="Miroslav Líška" w:date="2017-09-26T11:59:17Z">
        <w:r>
          <w:rPr>
            <w:rFonts w:eastAsia="Times New Roman" w:cs="Times New Roman"/>
            <w:color w:val="00000A"/>
            <w:sz w:val="20"/>
            <w:szCs w:val="20"/>
            <w:lang w:val="sk-SK" w:eastAsia="en-US" w:bidi="ar-SA"/>
          </w:rPr>
          <w:t xml:space="preserve"> </w:t>
        </w:r>
      </w:ins>
    </w:p>
    <w:p>
      <w:pPr>
        <w:pStyle w:val="06Normal"/>
        <w:rPr/>
      </w:pPr>
      <w:ins w:id="139" w:author="Miroslav Líška" w:date="2017-09-26T11:59:17Z">
        <w:r>
          <w:rPr>
            <w:rFonts w:eastAsia="Times New Roman"/>
          </w:rPr>
          <w:t xml:space="preserve"> </w:t>
        </w:r>
      </w:ins>
    </w:p>
    <w:p>
      <w:pPr>
        <w:pStyle w:val="06Normal"/>
        <w:rPr/>
      </w:pPr>
      <w:ins w:id="140" w:author="Miroslav Líška" w:date="2017-09-26T11:59:17Z">
        <w:r>
          <w:rPr>
            <w:rFonts w:eastAsia="Times New Roman"/>
          </w:rPr>
          <w:t xml:space="preserve"> </w:t>
        </w:r>
      </w:ins>
      <w:del w:id="141" w:author="Miroslav Líška" w:date="2017-09-26T12:07:17Z">
        <w:r>
          <w:rPr/>
          <w:delText>obsahujú entity vo forme:</w:delText>
        </w:r>
      </w:del>
    </w:p>
    <w:p>
      <w:pPr>
        <w:pStyle w:val="08Bullet1"/>
        <w:numPr>
          <w:ilvl w:val="0"/>
          <w:numId w:val="2"/>
        </w:numPr>
        <w:rPr/>
      </w:pPr>
      <w:del w:id="142" w:author="Miroslav Líška" w:date="2017-09-26T12:07:17Z">
        <w:r>
          <w:rPr/>
          <w:delText>Riadkov v tabuľke vo formáte CSV;</w:delText>
        </w:r>
      </w:del>
    </w:p>
    <w:p>
      <w:pPr>
        <w:pStyle w:val="08Bullet1"/>
        <w:numPr>
          <w:ilvl w:val="0"/>
          <w:numId w:val="2"/>
        </w:numPr>
        <w:rPr/>
      </w:pPr>
      <w:del w:id="143" w:author="Miroslav Líška" w:date="2017-09-26T12:07:17Z">
        <w:r>
          <w:rPr/>
          <w:delText>Prvkov v dokumente XML;</w:delText>
        </w:r>
      </w:del>
    </w:p>
    <w:p>
      <w:pPr>
        <w:pStyle w:val="08Bullet1"/>
        <w:numPr>
          <w:ilvl w:val="0"/>
          <w:numId w:val="2"/>
        </w:numPr>
        <w:rPr/>
      </w:pPr>
      <w:del w:id="144" w:author="Miroslav Líška" w:date="2017-09-26T12:07:17Z">
        <w:r>
          <w:rPr/>
          <w:delText>Objektov v dokumente JSON.</w:delText>
        </w:r>
      </w:del>
    </w:p>
    <w:p>
      <w:pPr>
        <w:pStyle w:val="06Normal"/>
        <w:rPr/>
      </w:pPr>
      <w:del w:id="145" w:author="Miroslav Líška" w:date="2017-09-26T12:07:17Z">
        <w:r>
          <w:rPr/>
          <w:delText xml:space="preserve">Povinná osoba definuje identifikátor pre každú entitu v datasetoch.. </w:delText>
        </w:r>
      </w:del>
    </w:p>
    <w:p>
      <w:pPr>
        <w:pStyle w:val="06Normal"/>
        <w:rPr/>
      </w:pPr>
      <w:del w:id="146" w:author="Miroslav Líška" w:date="2017-09-26T12:07:17Z">
        <w:r>
          <w:rPr/>
          <w:delText>Tieto identifikátory sú dôležité pre vývojárov aplikácií nad otvorenými dátami. Používajú ich na identifikovanie entít datasetu v zdrojovom kóde a na zlúčenie informácií o entitách z rôznych dátových zdrojov. Štandardom pre referencovateľný identifikátor je používanie nasledujúcej schémy: {základná Unified Resource Identifier (URI) } / {zdrojová cesta} / {typ} / {trieda} / {podtrieda 1 / podtrieda 2 ...} / {referencia}, pričom:</w:delText>
        </w:r>
      </w:del>
    </w:p>
    <w:p>
      <w:pPr>
        <w:pStyle w:val="08Bullet1"/>
        <w:numPr>
          <w:ilvl w:val="0"/>
          <w:numId w:val="2"/>
        </w:numPr>
        <w:rPr/>
      </w:pPr>
      <w:del w:id="147" w:author="Miroslav Líška" w:date="2017-09-26T12:07:17Z">
        <w:r>
          <w:rPr/>
          <w:delText>základnú Unified Resource Identifier (URI) tvorí http: //;</w:delText>
        </w:r>
      </w:del>
    </w:p>
    <w:p>
      <w:pPr>
        <w:pStyle w:val="08Bullet1"/>
        <w:numPr>
          <w:ilvl w:val="0"/>
          <w:numId w:val="2"/>
        </w:numPr>
        <w:rPr/>
      </w:pPr>
      <w:del w:id="148" w:author="Miroslav Líška" w:date="2017-09-26T12:07:17Z">
        <w:r>
          <w:rPr/>
          <w:delText>zdrojovú cestu tvorí data.gov.sk;</w:delText>
        </w:r>
      </w:del>
    </w:p>
    <w:p>
      <w:pPr>
        <w:pStyle w:val="08Bullet1"/>
        <w:numPr>
          <w:ilvl w:val="0"/>
          <w:numId w:val="2"/>
        </w:numPr>
        <w:rPr/>
      </w:pPr>
      <w:del w:id="149" w:author="Miroslav Líška" w:date="2017-09-26T12:07:17Z">
        <w:r>
          <w:rPr/>
          <w:delText>{typ} je reťazec, ktorý je založený na názve triedy, do ktorej entita patrí. Ak entita patrí do viacerých tried, odporúča sa vybrať tá najšpecifickejšia. Typ sa odporúča písať malými písmenami, pričom jednotlivé slová sú oddelené pomlčkou -:</w:delText>
        </w:r>
      </w:del>
    </w:p>
    <w:p>
      <w:pPr>
        <w:pStyle w:val="09Bullet2"/>
        <w:numPr>
          <w:ilvl w:val="0"/>
          <w:numId w:val="3"/>
        </w:numPr>
        <w:ind w:left="714" w:hanging="357"/>
        <w:rPr/>
      </w:pPr>
      <w:del w:id="150" w:author="Miroslav Líška" w:date="2017-09-26T12:07:17Z">
        <w:r>
          <w:rPr/>
          <w:delText>id – ak sa označuje neinformačný zdroj, ktorým je entita skutočného sveta;</w:delText>
        </w:r>
      </w:del>
    </w:p>
    <w:p>
      <w:pPr>
        <w:pStyle w:val="09Bullet2"/>
        <w:numPr>
          <w:ilvl w:val="0"/>
          <w:numId w:val="3"/>
        </w:numPr>
        <w:ind w:left="714" w:hanging="357"/>
        <w:rPr/>
      </w:pPr>
      <w:del w:id="151" w:author="Miroslav Líška" w:date="2017-09-26T12:07:17Z">
        <w:r>
          <w:rPr/>
          <w:delText>doc – ak sa identifikuje dokument;</w:delText>
        </w:r>
      </w:del>
    </w:p>
    <w:p>
      <w:pPr>
        <w:pStyle w:val="09Bullet2"/>
        <w:numPr>
          <w:ilvl w:val="0"/>
          <w:numId w:val="3"/>
        </w:numPr>
        <w:ind w:left="714" w:hanging="357"/>
        <w:rPr/>
      </w:pPr>
      <w:del w:id="152" w:author="Miroslav Líška" w:date="2017-09-26T12:07:17Z">
        <w:r>
          <w:rPr/>
          <w:delText>def – ak sa identifikuje definícia konkrétneho konceptu;</w:delText>
        </w:r>
      </w:del>
    </w:p>
    <w:p>
      <w:pPr>
        <w:pStyle w:val="09Bullet2"/>
        <w:numPr>
          <w:ilvl w:val="0"/>
          <w:numId w:val="3"/>
        </w:numPr>
        <w:ind w:left="714" w:hanging="357"/>
        <w:rPr/>
      </w:pPr>
      <w:del w:id="153" w:author="Miroslav Líška" w:date="2017-09-26T12:07:17Z">
        <w:r>
          <w:rPr/>
          <w:delText>set – ak sa identifikuje súbor údajov;</w:delText>
        </w:r>
      </w:del>
    </w:p>
    <w:p>
      <w:pPr>
        <w:pStyle w:val="08Bullet1"/>
        <w:numPr>
          <w:ilvl w:val="0"/>
          <w:numId w:val="2"/>
        </w:numPr>
        <w:spacing w:before="0" w:after="0"/>
        <w:rPr/>
      </w:pPr>
      <w:del w:id="154" w:author="Miroslav Líška" w:date="2017-09-26T12:07:17Z">
        <w:r>
          <w:rPr/>
          <w:delText>{triedu} tvorí slovo alebo reťazec, ktorý zachytáva podstatu identifikovanej entity skutočného sveta, napríklad škola, a to podľa číselníka taxonómií vydávaných Ministerstvom financií;</w:delText>
        </w:r>
      </w:del>
    </w:p>
    <w:p>
      <w:pPr>
        <w:pStyle w:val="08Bullet1"/>
        <w:numPr>
          <w:ilvl w:val="0"/>
          <w:numId w:val="2"/>
        </w:numPr>
        <w:spacing w:before="0" w:after="0"/>
        <w:rPr/>
      </w:pPr>
      <w:del w:id="155" w:author="Miroslav Líška" w:date="2017-09-26T12:07:17Z">
        <w:r>
          <w:rPr/>
          <w:delText>{podtriedu} tvorí slovo alebo reťazec sekundárnej klasifikácie triedy, ak je to potrebné;</w:delText>
        </w:r>
      </w:del>
    </w:p>
    <w:p>
      <w:pPr>
        <w:pStyle w:val="08Bullet1"/>
        <w:numPr>
          <w:ilvl w:val="0"/>
          <w:numId w:val="2"/>
        </w:numPr>
        <w:spacing w:before="0" w:after="0"/>
        <w:rPr>
          <w:rFonts w:eastAsia="Arial Unicode MS"/>
        </w:rPr>
      </w:pPr>
      <w:del w:id="156" w:author="Miroslav Líška" w:date="2017-09-26T12:07:17Z">
        <w:r>
          <w:rPr/>
          <w:delText xml:space="preserve">Referenciu tvorí reťazec, ktorý </w:delText>
        </w:r>
      </w:del>
      <w:del w:id="157" w:author="Miroslav Líška" w:date="2017-09-26T12:07:17Z">
        <w:r>
          <w:rPr>
            <w:rFonts w:eastAsia="Arial Unicode MS"/>
          </w:rPr>
          <w:delText>sa používa na identifikáciu jednotlivých inštancií konceptu, obvykle v tvare kódu z číselníka.</w:delText>
        </w:r>
      </w:del>
    </w:p>
    <w:p>
      <w:pPr>
        <w:pStyle w:val="08Bullet1"/>
        <w:ind w:left="0" w:hanging="0"/>
        <w:rPr/>
      </w:pPr>
      <w:del w:id="158" w:author="Miroslav Líška" w:date="2017-09-26T12:07:17Z">
        <w:r>
          <w:rPr/>
          <w:delText xml:space="preserve">Pre zadefinovanie identifikátora je potrebné riadiť sa nasledujúcimi pravidlami: </w:delText>
        </w:r>
      </w:del>
    </w:p>
    <w:p>
      <w:pPr>
        <w:pStyle w:val="08Bullet1"/>
        <w:numPr>
          <w:ilvl w:val="0"/>
          <w:numId w:val="2"/>
        </w:numPr>
        <w:rPr/>
      </w:pPr>
      <w:del w:id="159" w:author="Miroslav Líška" w:date="2017-09-26T12:07:17Z">
        <w:r>
          <w:rPr/>
          <w:delText>Každá entita by mala mať identifikátor, ktorý sa skladá len z jedného atribútu entity;</w:delText>
        </w:r>
      </w:del>
    </w:p>
    <w:p>
      <w:pPr>
        <w:pStyle w:val="08Bullet1"/>
        <w:numPr>
          <w:ilvl w:val="0"/>
          <w:numId w:val="2"/>
        </w:numPr>
        <w:rPr/>
      </w:pPr>
      <w:del w:id="160" w:author="Miroslav Líška" w:date="2017-09-26T12:07:17Z">
        <w:r>
          <w:rPr/>
          <w:delText>Ako referencia by sa nemala používať umelo vygenerovaná hodnota bez významu uložená ako primárny kľúč v databáze. Malo by ísť o hodnotu, ktorá sa používa na výmenu informácií o entite v reálnom svete a v reálnych systémoch. Napríklad podnik v danej krajine môže byť identifikovaný cez IČO, pretože ide o číslo, ktoré sa tiež používa v informačných systémoch verejnej správy na identifikáciu a výmenu informácií.</w:delText>
        </w:r>
      </w:del>
    </w:p>
    <w:p>
      <w:pPr>
        <w:pStyle w:val="08Bullet1"/>
        <w:numPr>
          <w:ilvl w:val="0"/>
          <w:numId w:val="2"/>
        </w:numPr>
        <w:rPr/>
      </w:pPr>
      <w:del w:id="161" w:author="Miroslav Líška" w:date="2017-09-26T12:07:17Z">
        <w:r>
          <w:rPr/>
          <w:delText>Iba ak neexistuje žiadna referencia v reálnom svete, možno vygenerovať novú aj bez významu.</w:delText>
        </w:r>
      </w:del>
    </w:p>
    <w:p>
      <w:pPr>
        <w:pStyle w:val="08Bullet1"/>
        <w:numPr>
          <w:ilvl w:val="0"/>
          <w:numId w:val="2"/>
        </w:numPr>
        <w:rPr/>
      </w:pPr>
      <w:del w:id="162" w:author="Miroslav Líška" w:date="2017-09-26T12:07:17Z">
        <w:r>
          <w:rPr/>
          <w:delText xml:space="preserve">Každá referencia, trieda a podtrieda musí byť popísaná v dátovej schéme datasetu. Spôsob popisu závisí na skladbe jazyka danej schémy. </w:delText>
        </w:r>
      </w:del>
    </w:p>
    <w:p>
      <w:pPr>
        <w:pStyle w:val="06Normal"/>
        <w:numPr>
          <w:ilvl w:val="0"/>
          <w:numId w:val="2"/>
        </w:numPr>
        <w:rPr>
          <w:rFonts w:eastAsia="Arial Unicode MS"/>
        </w:rPr>
      </w:pPr>
      <w:del w:id="163" w:author="Miroslav Líška" w:date="2017-09-26T12:07:17Z">
        <w:r>
          <w:rPr>
            <w:rFonts w:eastAsia="Arial Unicode MS"/>
          </w:rPr>
          <w:delText>Pre vytváranie triedy alebo podtriedy, či referencie sa používa anglický jazyk, iba v nevyhnutných prípadoch slovenský.</w:delText>
        </w:r>
      </w:del>
    </w:p>
    <w:p>
      <w:pPr>
        <w:pStyle w:val="06Normal"/>
        <w:rPr>
          <w:rFonts w:eastAsia="Arial Unicode MS" w:cs="Arial"/>
        </w:rPr>
      </w:pPr>
      <w:del w:id="164" w:author="Miroslav Líška" w:date="2017-09-26T12:07:17Z">
        <w:r>
          <w:rPr/>
          <w:delText>Ak sú datasety publikované na úrovni 4</w:delText>
        </w:r>
      </w:del>
      <w:del w:id="165" w:author="Miroslav Líška" w:date="2017-09-26T12:07:17Z">
        <w:r>
          <w:rPr>
            <w:rFonts w:eastAsia="Arial Unicode MS" w:cs="Arial"/>
          </w:rPr>
          <w:delText>* alebo 5*, musia mať jednotlivé entity referencovateľné identifikátory v podobe URL, na ktorej vytvorenie sa používa vyššie uvedený identifikátor a ktorá spĺňa nasledujúce pravidlá:</w:delText>
        </w:r>
      </w:del>
    </w:p>
    <w:p>
      <w:pPr>
        <w:pStyle w:val="06Normal"/>
        <w:numPr>
          <w:ilvl w:val="0"/>
          <w:numId w:val="6"/>
        </w:numPr>
        <w:rPr>
          <w:rFonts w:eastAsia="Arial Unicode MS" w:cs="Arial"/>
        </w:rPr>
      </w:pPr>
      <w:del w:id="166" w:author="Miroslav Líška" w:date="2017-09-26T12:07:17Z">
        <w:r>
          <w:rPr>
            <w:rFonts w:eastAsia="Arial Unicode MS" w:cs="Arial"/>
          </w:rPr>
          <w:delText>Používa sa v strojovo čitateľnom formáte entity ako jej referencovateľný identifikátor;</w:delText>
        </w:r>
      </w:del>
    </w:p>
    <w:p>
      <w:pPr>
        <w:pStyle w:val="06Normal"/>
        <w:numPr>
          <w:ilvl w:val="0"/>
          <w:numId w:val="6"/>
        </w:numPr>
        <w:rPr>
          <w:rFonts w:eastAsia="Arial Unicode MS" w:cs="Arial"/>
        </w:rPr>
      </w:pPr>
      <w:del w:id="167" w:author="Miroslav Líška" w:date="2017-09-26T12:07:17Z">
        <w:r>
          <w:rPr>
            <w:rFonts w:eastAsia="Arial Unicode MS" w:cs="Arial"/>
          </w:rPr>
          <w:delText>Nemení sa počas celého životného cyklu entity;</w:delText>
        </w:r>
      </w:del>
    </w:p>
    <w:p>
      <w:pPr>
        <w:pStyle w:val="06Normal"/>
        <w:numPr>
          <w:ilvl w:val="0"/>
          <w:numId w:val="6"/>
        </w:numPr>
        <w:rPr/>
      </w:pPr>
      <w:del w:id="168" w:author="Miroslav Líška" w:date="2017-09-26T12:07:17Z">
        <w:r>
          <w:rPr>
            <w:rFonts w:eastAsia="Arial Unicode MS" w:cs="Arial"/>
          </w:rPr>
          <w:delText>Používa sa na prelinkovanie entity z iných súvisiacich entít v rovnakom alebo inom datasete tej istej alebo inej organizácie. Je podobná URL webovej stránky, ktorá sa tiež používa na prelinkovanie iných webových stránok na danú stránku.</w:delText>
        </w:r>
      </w:del>
    </w:p>
    <w:p>
      <w:pPr>
        <w:pStyle w:val="06Normal"/>
        <w:numPr>
          <w:ilvl w:val="0"/>
          <w:numId w:val="6"/>
        </w:numPr>
        <w:rPr/>
      </w:pPr>
      <w:del w:id="169" w:author="Miroslav Líška" w:date="2017-09-26T12:07:17Z">
        <w:r>
          <w:rPr>
            <w:rFonts w:eastAsia="Arial Unicode MS" w:cs="Arial"/>
          </w:rPr>
          <w:delText xml:space="preserve">V prípade úrovne 5* je URL dereferencovateľná. To znamená, že ak sa do webového klienta zadá URL cez http protokol, vráti sa zo serveru strojovo čitateľná reprezentácia entity v RDF formáte serializovaná do vhodného formátu (napríklad TTL alebo JSON-LD). </w:delText>
        </w:r>
      </w:del>
    </w:p>
    <w:p>
      <w:pPr>
        <w:pStyle w:val="Heading1"/>
        <w:numPr>
          <w:ilvl w:val="0"/>
          <w:numId w:val="8"/>
        </w:numPr>
        <w:rPr/>
      </w:pPr>
      <w:bookmarkStart w:id="55" w:name="_Ref423525210"/>
      <w:bookmarkStart w:id="56" w:name="_Toc367306470"/>
      <w:bookmarkStart w:id="57" w:name="_Toc367308149"/>
      <w:bookmarkStart w:id="58" w:name="_Toc367325042"/>
      <w:bookmarkEnd w:id="55"/>
      <w:bookmarkEnd w:id="56"/>
      <w:bookmarkEnd w:id="57"/>
      <w:bookmarkEnd w:id="58"/>
      <w:r>
        <w:rPr/>
        <w:t>Stanovenie priorít pre zverejnenie datasetov</w:t>
      </w:r>
    </w:p>
    <w:p>
      <w:pPr>
        <w:pStyle w:val="06Normal"/>
        <w:rPr>
          <w:rFonts w:eastAsia="Arial Unicode MS"/>
        </w:rPr>
      </w:pPr>
      <w:r>
        <w:rPr>
          <w:rFonts w:eastAsia="Arial Unicode MS"/>
        </w:rPr>
        <w:t>Po zmapovaní datasetov a stanovení náročnosti zverejnenia si povinná osoba stanoví priority pre zverejnenie datasetov. Postup uvedený v tejto kapitole je odporúčaný, a povinná osoba si ho môže prispôsobiť svojim potrebám a prípadne aj zjednodušiť.</w:t>
      </w:r>
    </w:p>
    <w:p>
      <w:pPr>
        <w:pStyle w:val="12Caption"/>
        <w:rPr/>
      </w:pPr>
      <w:r>
        <w:rPr/>
        <w:t xml:space="preserve">Obrázok </w:t>
      </w:r>
      <w:r>
        <w:rPr/>
        <w:fldChar w:fldCharType="begin"/>
      </w:r>
      <w:r>
        <w:instrText> SEQ Obrázok \* ARABIC </w:instrText>
      </w:r>
      <w:r>
        <w:fldChar w:fldCharType="separate"/>
      </w:r>
      <w:r>
        <w:t>3</w:t>
      </w:r>
      <w:r>
        <w:fldChar w:fldCharType="end"/>
      </w:r>
      <w:r>
        <w:rPr/>
        <w:t>: Stanovenie priorít</w:t>
      </w:r>
    </w:p>
    <w:p>
      <w:pPr>
        <w:pStyle w:val="06Normal"/>
        <w:rPr>
          <w:rFonts w:eastAsia="Arial Unicode MS"/>
        </w:rPr>
      </w:pPr>
      <w:r>
        <w:rPr/>
        <w:drawing>
          <wp:inline distT="0" distB="0" distL="0" distR="0">
            <wp:extent cx="5393055" cy="2393315"/>
            <wp:effectExtent l="0" t="0" r="0" b="0"/>
            <wp:docPr id="10" name="Picture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3" descr=""/>
                    <pic:cNvPicPr>
                      <a:picLocks noChangeAspect="1" noChangeArrowheads="1"/>
                    </pic:cNvPicPr>
                  </pic:nvPicPr>
                  <pic:blipFill>
                    <a:blip r:embed="rId12"/>
                    <a:stretch>
                      <a:fillRect/>
                    </a:stretch>
                  </pic:blipFill>
                  <pic:spPr bwMode="auto">
                    <a:xfrm>
                      <a:off x="0" y="0"/>
                      <a:ext cx="5393055" cy="2393315"/>
                    </a:xfrm>
                    <a:prstGeom prst="rect">
                      <a:avLst/>
                    </a:prstGeom>
                  </pic:spPr>
                </pic:pic>
              </a:graphicData>
            </a:graphic>
          </wp:inline>
        </w:drawing>
      </w:r>
    </w:p>
    <w:p>
      <w:pPr>
        <w:pStyle w:val="06Normal"/>
        <w:rPr>
          <w:rFonts w:eastAsia="Arial Unicode MS"/>
        </w:rPr>
      </w:pPr>
      <w:r>
        <w:rPr>
          <w:rFonts w:eastAsia="Arial Unicode MS"/>
        </w:rPr>
        <w:t xml:space="preserve">Datasety s vysokou pridanou hodnotou, maximálne strednými nákladmi na zverejnenie, a s vysokou hodnotou pre </w:t>
      </w:r>
      <w:r>
        <w:rPr/>
        <w:t>opakované použitie</w:t>
      </w:r>
      <w:r>
        <w:rPr>
          <w:rFonts w:eastAsia="Arial Unicode MS"/>
        </w:rPr>
        <w:t xml:space="preserve"> by mali byť prioritné datasety pre zverejnenie. Príkladom takého datasetu sú napríklad dáta, ktoré môžu byť opakovane použité prostredníctvom aplikácií pre cestovanie verejnou dopravou. Dáta, ktoré pomáhajú obyvateľom lepšie lokalizovať a využívať verejné služby, by mali byť zverejnené za účelom zlepšenia fungovania verejnej správy. Dáta popisujúce vyžívanie služieb verejnej správy a poskytujúce informácie o poskytovateľoch údajov a podmienkach pre využitie služieb sú príkladom z tejto kategórie.</w:t>
      </w:r>
    </w:p>
    <w:p>
      <w:pPr>
        <w:pStyle w:val="Heading2"/>
        <w:numPr>
          <w:ilvl w:val="1"/>
          <w:numId w:val="8"/>
        </w:numPr>
        <w:rPr/>
      </w:pPr>
      <w:bookmarkStart w:id="59" w:name="_Toc367325043"/>
      <w:bookmarkEnd w:id="59"/>
      <w:r>
        <w:rPr/>
        <w:t>Priority publikovania otvorených dát</w:t>
      </w:r>
    </w:p>
    <w:p>
      <w:pPr>
        <w:pStyle w:val="06Normal"/>
        <w:rPr>
          <w:rFonts w:eastAsia="Arial Unicode MS"/>
        </w:rPr>
      </w:pPr>
      <w:r>
        <w:rPr>
          <w:rFonts w:eastAsia="Arial Unicode MS"/>
        </w:rPr>
        <w:t>Priority publikovania otvorených dát môžu byť stanovené na základe týchto krokov:</w:t>
      </w:r>
    </w:p>
    <w:p>
      <w:pPr>
        <w:pStyle w:val="08Bullet1"/>
        <w:numPr>
          <w:ilvl w:val="0"/>
          <w:numId w:val="4"/>
        </w:numPr>
        <w:rPr>
          <w:rFonts w:eastAsia="Arial Unicode MS"/>
        </w:rPr>
      </w:pPr>
      <w:r>
        <w:rPr>
          <w:rFonts w:eastAsia="Arial Unicode MS"/>
        </w:rPr>
        <w:t>Stanovenie kľúčových kritérií pre prioritizáciu datasetov;</w:t>
      </w:r>
    </w:p>
    <w:p>
      <w:pPr>
        <w:pStyle w:val="08Bullet1"/>
        <w:numPr>
          <w:ilvl w:val="0"/>
          <w:numId w:val="4"/>
        </w:numPr>
        <w:rPr>
          <w:rFonts w:eastAsia="Arial Unicode MS"/>
        </w:rPr>
      </w:pPr>
      <w:r>
        <w:rPr>
          <w:rFonts w:eastAsia="Arial Unicode MS"/>
        </w:rPr>
        <w:t>Stanovenie váh prioritizačných kritérií;</w:t>
      </w:r>
    </w:p>
    <w:p>
      <w:pPr>
        <w:pStyle w:val="08Bullet1"/>
        <w:numPr>
          <w:ilvl w:val="0"/>
          <w:numId w:val="4"/>
        </w:numPr>
        <w:rPr>
          <w:rFonts w:eastAsia="Arial Unicode MS"/>
        </w:rPr>
      </w:pPr>
      <w:r>
        <w:rPr>
          <w:rFonts w:eastAsia="Arial Unicode MS"/>
        </w:rPr>
        <w:t>Odstránenie datasetov, ktoré nemôžu byť zverejnené v podobe otvorených dát z katalógu potenciálnych datasetov;</w:t>
      </w:r>
    </w:p>
    <w:p>
      <w:pPr>
        <w:pStyle w:val="08Bullet1"/>
        <w:numPr>
          <w:ilvl w:val="0"/>
          <w:numId w:val="4"/>
        </w:numPr>
        <w:rPr>
          <w:rFonts w:eastAsia="Arial Unicode MS"/>
        </w:rPr>
      </w:pPr>
      <w:r>
        <w:rPr>
          <w:rFonts w:eastAsia="Arial Unicode MS"/>
        </w:rPr>
        <w:t>Kalkulácia priorít na základe kritérií a ich váh;</w:t>
      </w:r>
    </w:p>
    <w:p>
      <w:pPr>
        <w:pStyle w:val="08Bullet1"/>
        <w:numPr>
          <w:ilvl w:val="0"/>
          <w:numId w:val="4"/>
        </w:numPr>
        <w:rPr>
          <w:rFonts w:eastAsia="Arial Unicode MS"/>
        </w:rPr>
      </w:pPr>
      <w:r>
        <w:rPr>
          <w:rFonts w:eastAsia="Arial Unicode MS"/>
        </w:rPr>
        <w:t>Zoradenie potenciálnych datasetov na základe kalkulácií;</w:t>
      </w:r>
    </w:p>
    <w:p>
      <w:pPr>
        <w:pStyle w:val="08Bullet1"/>
        <w:numPr>
          <w:ilvl w:val="0"/>
          <w:numId w:val="4"/>
        </w:numPr>
        <w:rPr>
          <w:rFonts w:eastAsia="Arial Unicode MS"/>
        </w:rPr>
      </w:pPr>
      <w:bookmarkStart w:id="60" w:name="_Ref421803309"/>
      <w:bookmarkEnd w:id="60"/>
      <w:r>
        <w:rPr>
          <w:rFonts w:eastAsia="Arial Unicode MS"/>
        </w:rPr>
        <w:t>Upravenie poradí datasetov na základe reflektovania cieľov pre publikovanie otvorených dát a skutočnej hodnoty datasetu;</w:t>
      </w:r>
    </w:p>
    <w:p>
      <w:pPr>
        <w:pStyle w:val="08Bullet1"/>
        <w:numPr>
          <w:ilvl w:val="0"/>
          <w:numId w:val="4"/>
        </w:numPr>
        <w:rPr>
          <w:rFonts w:eastAsia="Arial Unicode MS"/>
        </w:rPr>
      </w:pPr>
      <w:r>
        <w:rPr>
          <w:rFonts w:eastAsia="Arial Unicode MS"/>
        </w:rPr>
        <w:t>Prípadná úprava váh jednotlivých kritérií a rekalkulácia na základe nových výsledkov;</w:t>
      </w:r>
    </w:p>
    <w:p>
      <w:pPr>
        <w:pStyle w:val="08Bullet1"/>
        <w:numPr>
          <w:ilvl w:val="0"/>
          <w:numId w:val="4"/>
        </w:numPr>
        <w:rPr>
          <w:rFonts w:eastAsia="Arial Unicode MS"/>
        </w:rPr>
      </w:pPr>
      <w:r>
        <w:rPr>
          <w:rFonts w:eastAsia="Arial Unicode MS"/>
        </w:rPr>
        <w:t>Finálna selekcia datasetov pre publikovanie a stanovenie doby releasu datasetu.</w:t>
      </w:r>
    </w:p>
    <w:p>
      <w:pPr>
        <w:pStyle w:val="Heading2"/>
        <w:numPr>
          <w:ilvl w:val="1"/>
          <w:numId w:val="8"/>
        </w:numPr>
        <w:rPr/>
      </w:pPr>
      <w:bookmarkStart w:id="61" w:name="_Toc367325044"/>
      <w:bookmarkEnd w:id="61"/>
      <w:r>
        <w:rPr/>
        <w:t>Prioritizačné kritériá</w:t>
      </w:r>
    </w:p>
    <w:p>
      <w:pPr>
        <w:pStyle w:val="06Normal"/>
        <w:rPr>
          <w:rFonts w:eastAsia="Arial Unicode MS"/>
        </w:rPr>
      </w:pPr>
      <w:r>
        <w:rPr>
          <w:rFonts w:eastAsia="Arial Unicode MS"/>
        </w:rPr>
        <w:t>Návrh</w:t>
      </w:r>
      <w:r>
        <w:rPr>
          <w:rStyle w:val="FootnoteAnchor"/>
          <w:rFonts w:eastAsia="Arial Unicode MS"/>
        </w:rPr>
        <w:footnoteReference w:id="10"/>
      </w:r>
      <w:r>
        <w:rPr>
          <w:rFonts w:eastAsia="Arial Unicode MS"/>
        </w:rPr>
        <w:t xml:space="preserve"> prioritizačních kritérií pre povinnú osobu:</w:t>
      </w:r>
    </w:p>
    <w:p>
      <w:pPr>
        <w:pStyle w:val="08Bullet1"/>
        <w:numPr>
          <w:ilvl w:val="0"/>
          <w:numId w:val="2"/>
        </w:numPr>
        <w:rPr>
          <w:rFonts w:eastAsia="Arial Unicode MS"/>
        </w:rPr>
      </w:pPr>
      <w:r>
        <w:rPr>
          <w:rFonts w:eastAsia="Arial Unicode MS"/>
        </w:rPr>
        <w:t>Dopyt po dátach, ktorý možno určiť na základe prieskumu alebo vyhodnotením žiadostí o sprístupnenie súvisiacich datasetov v danej téme;</w:t>
      </w:r>
    </w:p>
    <w:p>
      <w:pPr>
        <w:pStyle w:val="08Bullet1"/>
        <w:numPr>
          <w:ilvl w:val="0"/>
          <w:numId w:val="2"/>
        </w:numPr>
        <w:rPr>
          <w:rFonts w:eastAsia="Arial Unicode MS"/>
        </w:rPr>
      </w:pPr>
      <w:r>
        <w:rPr>
          <w:rFonts w:eastAsia="Arial Unicode MS"/>
        </w:rPr>
        <w:t>Súčasný formát dát – ak sa dáta už nachádzajú v strojovo čitateľnom formáte, bude oveľa jednoduchšie ich zverejniť.</w:t>
      </w:r>
    </w:p>
    <w:p>
      <w:pPr>
        <w:pStyle w:val="08Bullet1"/>
        <w:numPr>
          <w:ilvl w:val="0"/>
          <w:numId w:val="2"/>
        </w:numPr>
        <w:rPr>
          <w:rFonts w:eastAsia="Arial Unicode MS"/>
        </w:rPr>
      </w:pPr>
      <w:r>
        <w:rPr>
          <w:rFonts w:eastAsia="Arial Unicode MS"/>
        </w:rPr>
        <w:t>Dostupná dokumentácia dátovej schémy, ktorá zvýši potenciál datasetu pre jeho opakované použitie;</w:t>
      </w:r>
    </w:p>
    <w:p>
      <w:pPr>
        <w:pStyle w:val="08Bullet1"/>
        <w:numPr>
          <w:ilvl w:val="0"/>
          <w:numId w:val="2"/>
        </w:numPr>
        <w:rPr>
          <w:rFonts w:eastAsia="Arial Unicode MS"/>
        </w:rPr>
      </w:pPr>
      <w:r>
        <w:rPr>
          <w:rFonts w:eastAsia="Arial Unicode MS"/>
        </w:rPr>
        <w:t>Prínosy datasetu – datasety s vyšším odhadovaným prínosom by mali byť zverejnené prioritne;</w:t>
      </w:r>
    </w:p>
    <w:p>
      <w:pPr>
        <w:pStyle w:val="08Bullet1"/>
        <w:numPr>
          <w:ilvl w:val="0"/>
          <w:numId w:val="2"/>
        </w:numPr>
        <w:rPr>
          <w:rFonts w:eastAsia="Arial Unicode MS"/>
        </w:rPr>
      </w:pPr>
      <w:r>
        <w:rPr>
          <w:rFonts w:eastAsia="Arial Unicode MS"/>
        </w:rPr>
        <w:t>Riziko publikovania datasetu –menej rizikové datasety sú preferované;</w:t>
      </w:r>
    </w:p>
    <w:p>
      <w:pPr>
        <w:pStyle w:val="08Bullet1"/>
        <w:numPr>
          <w:ilvl w:val="0"/>
          <w:numId w:val="2"/>
        </w:numPr>
        <w:rPr>
          <w:rFonts w:eastAsia="Arial Unicode MS"/>
        </w:rPr>
      </w:pPr>
      <w:r>
        <w:rPr>
          <w:rFonts w:eastAsia="Arial Unicode MS"/>
        </w:rPr>
        <w:t>Odhadovaná náročnosť pre zverejnenie - datasety, ktoré sú jednoducho publikovateľné a zároveň majú vysokú hodnotu, musia byť publikované ako prvé.</w:t>
      </w:r>
    </w:p>
    <w:p>
      <w:pPr>
        <w:pStyle w:val="Heading2"/>
        <w:numPr>
          <w:ilvl w:val="1"/>
          <w:numId w:val="8"/>
        </w:numPr>
        <w:rPr/>
      </w:pPr>
      <w:del w:id="170" w:author="Miroslav Líška" w:date="2017-09-26T12:08:55Z">
        <w:bookmarkStart w:id="62" w:name="_Toc367325045"/>
        <w:bookmarkEnd w:id="62"/>
        <w:r>
          <w:rPr/>
          <w:delText>Publikovanie datasetov vo formáte Linked Data</w:delText>
        </w:r>
      </w:del>
    </w:p>
    <w:p>
      <w:pPr>
        <w:pStyle w:val="06Normal"/>
        <w:rPr>
          <w:rFonts w:eastAsia="Arial Unicode MS"/>
        </w:rPr>
      </w:pPr>
      <w:del w:id="171" w:author="Miroslav Líška" w:date="2017-09-26T12:08:55Z">
        <w:r>
          <w:rPr>
            <w:rFonts w:eastAsia="Arial Unicode MS"/>
          </w:rPr>
          <w:delText>Ak sa povinná osoba rozhodne publikovať datasety vo formáte Linked Data, musia byť navyše využité nasledujúce prioritizačné kritéria:</w:delText>
        </w:r>
      </w:del>
    </w:p>
    <w:p>
      <w:pPr>
        <w:pStyle w:val="08Bullet1"/>
        <w:numPr>
          <w:ilvl w:val="0"/>
          <w:numId w:val="2"/>
        </w:numPr>
        <w:rPr>
          <w:rFonts w:eastAsia="Arial Unicode MS"/>
        </w:rPr>
      </w:pPr>
      <w:del w:id="172" w:author="Miroslav Líška" w:date="2017-09-26T12:08:55Z">
        <w:r>
          <w:rPr>
            <w:rFonts w:eastAsia="Arial Unicode MS"/>
          </w:rPr>
          <w:delText>Referencovateľné identifikátory – Datasety s prirodzenými referenciami v identifikátoroch sú najlepšími kandidátmi pre publikovanie vo formáte Linked Data, pretože nie je nevyhnutné sa dohodnúť medzi rôznymi stranami na tom, ako identifikovať entity.</w:delText>
        </w:r>
      </w:del>
    </w:p>
    <w:p>
      <w:pPr>
        <w:pStyle w:val="08Bullet1"/>
        <w:numPr>
          <w:ilvl w:val="0"/>
          <w:numId w:val="2"/>
        </w:numPr>
        <w:rPr>
          <w:rFonts w:eastAsia="Arial Unicode MS"/>
        </w:rPr>
      </w:pPr>
      <w:del w:id="173" w:author="Miroslav Líška" w:date="2017-09-26T12:08:55Z">
        <w:r>
          <w:rPr>
            <w:rFonts w:eastAsia="Arial Unicode MS"/>
          </w:rPr>
          <w:delText>Potenciál pre Linked Data – Odhad počtu datasetov, ktoré môžu byť prepojené s daným datasetom.</w:delText>
        </w:r>
      </w:del>
    </w:p>
    <w:p>
      <w:pPr>
        <w:pStyle w:val="06Normal"/>
        <w:rPr>
          <w:rFonts w:eastAsia="Arial Unicode MS"/>
        </w:rPr>
      </w:pPr>
      <w:del w:id="174" w:author="Miroslav Líška" w:date="2017-09-26T12:08:55Z">
        <w:r>
          <w:rPr>
            <w:rFonts w:eastAsia="Arial Unicode MS"/>
          </w:rPr>
          <w:delText>Ak sú dôvodom pre nízku prioritu publikovania cena alebo náročnosť publikovania, možno zvážiť nasledovné:</w:delText>
        </w:r>
      </w:del>
    </w:p>
    <w:p>
      <w:pPr>
        <w:pStyle w:val="08Bullet01"/>
        <w:numPr>
          <w:ilvl w:val="0"/>
          <w:numId w:val="2"/>
        </w:numPr>
        <w:rPr/>
      </w:pPr>
      <w:del w:id="175" w:author="Miroslav Líška" w:date="2017-09-26T12:08:55Z">
        <w:r>
          <w:rPr/>
          <w:delText>Znížiť úroveň kvality pre Open Data na minimálnu možnú úroveň 3</w:delText>
        </w:r>
      </w:del>
      <w:del w:id="176" w:author="Miroslav Líška" w:date="2017-09-26T12:08:55Z">
        <w:r>
          <w:rPr>
            <w:rFonts w:eastAsia="Wingdings" w:cs="Wingdings" w:ascii="Wingdings" w:hAnsi="Wingdings"/>
            <w:lang w:eastAsia="ja-JP"/>
          </w:rPr>
          <w:delText></w:delText>
        </w:r>
      </w:del>
      <w:del w:id="177" w:author="Miroslav Líška" w:date="2017-09-26T12:08:55Z">
        <w:r>
          <w:rPr>
            <w:lang w:eastAsia="ja-JP"/>
          </w:rPr>
          <w:delText>;</w:delText>
        </w:r>
      </w:del>
    </w:p>
    <w:p>
      <w:pPr>
        <w:pStyle w:val="08Bullet01"/>
        <w:numPr>
          <w:ilvl w:val="0"/>
          <w:numId w:val="2"/>
        </w:numPr>
        <w:rPr/>
      </w:pPr>
      <w:del w:id="178" w:author="Miroslav Líška" w:date="2017-09-26T12:08:55Z">
        <w:r>
          <w:rPr/>
          <w:delText>V prípade, že je dataset príliš komplexný alebo nákladný pre zverejnenie aj na úrovni 3</w:delText>
        </w:r>
      </w:del>
      <w:del w:id="179" w:author="Miroslav Líška" w:date="2017-09-26T12:08:55Z">
        <w:r>
          <w:rPr>
            <w:rFonts w:eastAsia="Wingdings" w:cs="Wingdings" w:ascii="Wingdings" w:hAnsi="Wingdings"/>
            <w:lang w:eastAsia="ja-JP"/>
          </w:rPr>
          <w:delText></w:delText>
        </w:r>
      </w:del>
      <w:del w:id="180" w:author="Miroslav Líška" w:date="2017-09-26T12:08:55Z">
        <w:r>
          <w:rPr>
            <w:lang w:eastAsia="ja-JP"/>
          </w:rPr>
          <w:delText xml:space="preserve"> alebo </w:delText>
        </w:r>
      </w:del>
      <w:del w:id="181" w:author="Miroslav Líška" w:date="2017-09-26T12:08:55Z">
        <w:r>
          <w:rPr/>
          <w:delText>vyššej, povinná osoba zváži zverejnenie datasetu v ďalších cykloch a nastaví nápravné kroky (napríklad v oblasti rozvoja príslušného agendového systému), aby bolo možné dataset poskytovať neskôr menej nákladne na uspokojivej úrovni.</w:delText>
        </w:r>
      </w:del>
    </w:p>
    <w:p>
      <w:pPr>
        <w:pStyle w:val="08Bullet1"/>
        <w:numPr>
          <w:ilvl w:val="0"/>
          <w:numId w:val="2"/>
        </w:numPr>
        <w:rPr>
          <w:rFonts w:eastAsia="Arial Unicode MS"/>
        </w:rPr>
      </w:pPr>
      <w:del w:id="182" w:author="Miroslav Líška" w:date="2017-09-26T12:08:55Z">
        <w:r>
          <w:rPr>
            <w:rFonts w:eastAsia="Arial Unicode MS"/>
            <w:lang w:eastAsia="ja-JP"/>
          </w:rPr>
          <w:delText>Zvážiť, či sa dataset nezverejňuje už inou povinnou osobou alebo či nie je súčasťou iného väčšieho datasetu, na ktorý sa možno len prelinkovať;</w:delText>
        </w:r>
      </w:del>
    </w:p>
    <w:p>
      <w:pPr>
        <w:pStyle w:val="08Bullet1"/>
        <w:numPr>
          <w:ilvl w:val="0"/>
          <w:numId w:val="2"/>
        </w:numPr>
        <w:rPr>
          <w:rFonts w:eastAsia="Arial Unicode MS"/>
        </w:rPr>
      </w:pPr>
      <w:del w:id="183" w:author="Miroslav Líška" w:date="2017-09-26T12:08:55Z">
        <w:r>
          <w:rPr>
            <w:rFonts w:eastAsia="Arial Unicode MS"/>
            <w:lang w:eastAsia="ja-JP"/>
          </w:rPr>
          <w:delText xml:space="preserve">Ak je zverejnená inou povinnou osobou len časť datasetu, možno rozdeliť dataset na dve časti a publikovať len primárne dáta prelinkované s externým datasetom. Nevyhnutné linky musia byť súčasťou záznamu v katalógu alebo, ak sa už uplatňujú princípy LinkedData (úroveň kvality </w:delText>
        </w:r>
      </w:del>
      <w:del w:id="184" w:author="Miroslav Líška" w:date="2017-09-26T12:08:55Z">
        <w:r>
          <w:rPr/>
          <w:delText>5</w:delText>
        </w:r>
      </w:del>
      <w:del w:id="185" w:author="Miroslav Líška" w:date="2017-09-26T12:08:55Z">
        <w:r>
          <w:rPr>
            <w:rFonts w:eastAsia="Wingdings" w:cs="Wingdings" w:ascii="Wingdings" w:hAnsi="Wingdings"/>
          </w:rPr>
          <w:delText></w:delText>
        </w:r>
      </w:del>
      <w:del w:id="186" w:author="Miroslav Líška" w:date="2017-09-26T12:08:55Z">
        <w:r>
          <w:rPr>
            <w:rFonts w:eastAsia="Arial Unicode MS"/>
            <w:lang w:eastAsia="ja-JP"/>
          </w:rPr>
          <w:delText>), je možné prelinkovať v datasetoch napriamo.</w:delText>
        </w:r>
      </w:del>
    </w:p>
    <w:p>
      <w:pPr>
        <w:pStyle w:val="Heading2"/>
        <w:rPr/>
      </w:pPr>
      <w:del w:id="187" w:author="Miroslav Líška" w:date="2017-09-26T12:08:55Z">
        <w:r>
          <w:rPr>
            <w:rFonts w:eastAsia="Arial Unicode MS"/>
          </w:rPr>
          <w:delText xml:space="preserve">V niektorých prípadoch sa môže stať, že dataset je už publikovaný v rámci väčšieho datasetu. V tomto prípade nie je nutné znovu zverejňovať spomínaný dataset, ale namiesto toho stačí na neho odkázať. Z tohto dôvodu by mala povinná osoba skontrolovať, či nie je dataset niekde inde zverejnený, aby nedochádzalo k duplikovaniu práce. V prípade, ak je dataset zverejnený iba čiastočne, povinná osoba zanalyzuje, či by nebolo vhodné rozdeliť dataset a publikovať iba primárne dáta prepojené na externú databázu. Požadované odkazy na prepojenie by mali byť uvedené v katalógu, ale v prípade aplikácie Linked Data pravidiel je možné prepojenie objektov priamo v datasete. </w:delText>
        </w:r>
      </w:del>
    </w:p>
    <w:p>
      <w:pPr>
        <w:pStyle w:val="Heading1"/>
        <w:numPr>
          <w:ilvl w:val="0"/>
          <w:numId w:val="8"/>
        </w:numPr>
        <w:rPr/>
      </w:pPr>
      <w:bookmarkStart w:id="63" w:name="_Toc367325046"/>
      <w:r>
        <w:rPr/>
        <w:t>Časový harmonogram vytvárania a sprístupňovania datasetov</w:t>
      </w:r>
      <w:bookmarkEnd w:id="63"/>
      <w:r>
        <w:rPr/>
        <w:t xml:space="preserve"> </w:t>
      </w:r>
    </w:p>
    <w:p>
      <w:pPr>
        <w:pStyle w:val="06Normal"/>
        <w:rPr>
          <w:rFonts w:eastAsia="Arial Unicode MS"/>
        </w:rPr>
      </w:pPr>
      <w:r>
        <w:rPr>
          <w:rFonts w:eastAsia="Arial Unicode MS"/>
        </w:rPr>
        <w:t>Definovanie časového harmonogramu vytvárania a sprístupňovania datasetov (plánu zverejňovania) sa skladá z dvoch krokov: stanovenie cieľového stavu a definovanie plánu zverejnenia otvorených dát pre dosiahnutie tohto cieľového stavu.</w:t>
      </w:r>
    </w:p>
    <w:p>
      <w:pPr>
        <w:pStyle w:val="12Caption"/>
        <w:rPr/>
      </w:pPr>
      <w:r>
        <w:rPr/>
        <w:t>Definovanie časového harmonogramu vytvárania a sprístupňovania datasetov</w:t>
      </w:r>
    </w:p>
    <w:p>
      <w:pPr>
        <w:pStyle w:val="06Normal"/>
        <w:rPr>
          <w:rFonts w:eastAsia="Arial Unicode MS"/>
        </w:rPr>
      </w:pPr>
      <w:r>
        <w:rPr/>
        <w:drawing>
          <wp:inline distT="0" distB="0" distL="0" distR="0">
            <wp:extent cx="5301615" cy="1280795"/>
            <wp:effectExtent l="0" t="0" r="0" b="0"/>
            <wp:docPr id="11"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0" descr=""/>
                    <pic:cNvPicPr>
                      <a:picLocks noChangeAspect="1" noChangeArrowheads="1"/>
                    </pic:cNvPicPr>
                  </pic:nvPicPr>
                  <pic:blipFill>
                    <a:blip r:embed="rId13"/>
                    <a:stretch>
                      <a:fillRect/>
                    </a:stretch>
                  </pic:blipFill>
                  <pic:spPr bwMode="auto">
                    <a:xfrm>
                      <a:off x="0" y="0"/>
                      <a:ext cx="5301615" cy="1280795"/>
                    </a:xfrm>
                    <a:prstGeom prst="rect">
                      <a:avLst/>
                    </a:prstGeom>
                  </pic:spPr>
                </pic:pic>
              </a:graphicData>
            </a:graphic>
          </wp:inline>
        </w:drawing>
      </w:r>
    </w:p>
    <w:p>
      <w:pPr>
        <w:pStyle w:val="06Normal"/>
        <w:rPr/>
      </w:pPr>
      <w:r>
        <w:rPr>
          <w:rFonts w:eastAsia="Arial Unicode MS"/>
        </w:rPr>
        <w:t xml:space="preserve">Plán časového harmonogramu vytvárania a sprístupňovania datasetov predstavuje finálny výstup analytickej fázy publikácie otvorených dát. Tento plán dokumentuje aj ciele zverejňovania, ktoré musia byť v súlade so strategickými cieľmi vlastníka dát a platnou legislatívou. </w:t>
      </w:r>
    </w:p>
    <w:p>
      <w:pPr>
        <w:pStyle w:val="Heading2"/>
        <w:numPr>
          <w:ilvl w:val="1"/>
          <w:numId w:val="8"/>
        </w:numPr>
        <w:rPr/>
      </w:pPr>
      <w:bookmarkStart w:id="64" w:name="_Ref423525220"/>
      <w:bookmarkStart w:id="65" w:name="_Toc367306472"/>
      <w:bookmarkStart w:id="66" w:name="_Toc367308151"/>
      <w:bookmarkStart w:id="67" w:name="_Toc367325047"/>
      <w:bookmarkStart w:id="68" w:name="_Toc422147929"/>
      <w:bookmarkStart w:id="69" w:name="_Toc404707580"/>
      <w:bookmarkEnd w:id="64"/>
      <w:bookmarkEnd w:id="65"/>
      <w:bookmarkEnd w:id="66"/>
      <w:bookmarkEnd w:id="67"/>
      <w:bookmarkEnd w:id="68"/>
      <w:bookmarkEnd w:id="69"/>
      <w:r>
        <w:rPr/>
        <w:t>Stanovenie cieľového stavu</w:t>
      </w:r>
    </w:p>
    <w:p>
      <w:pPr>
        <w:pStyle w:val="06Normal"/>
        <w:rPr>
          <w:rFonts w:eastAsia="Arial Unicode MS"/>
        </w:rPr>
      </w:pPr>
      <w:r>
        <w:rPr>
          <w:rFonts w:eastAsia="Arial Unicode MS"/>
        </w:rPr>
        <w:t>Stanovenie cieľového stavu je založené na predchádzajúcich aktivitách, v ktorých sa získané informácie skonsolidujú do finálneho katalógu potenciálnych datasetov pre publikovanie v podobe otvorených dát. Možno vykonať poslednú revíziu priorít datasetov pri komplexnej kontrole, či daná množina datasetov v katalógu napĺňa strategické ciele a legislatívne požiadavke definované v</w:t>
        <w:tab/>
        <w:t>§3, ods.4, písm.d) zákona č.275/2006 Z.z a v §6 ods. 3 zákona č.211/2000 Z.z.</w:t>
      </w:r>
    </w:p>
    <w:p>
      <w:pPr>
        <w:pStyle w:val="12Caption"/>
        <w:rPr/>
      </w:pPr>
      <w:r>
        <w:rPr/>
        <w:t>Stanovenie cieľového stavu</w:t>
      </w:r>
    </w:p>
    <w:p>
      <w:pPr>
        <w:pStyle w:val="06Normal"/>
        <w:rPr>
          <w:rFonts w:eastAsia="Arial Unicode MS"/>
        </w:rPr>
      </w:pPr>
      <w:r>
        <w:rPr/>
        <w:drawing>
          <wp:inline distT="0" distB="0" distL="0" distR="0">
            <wp:extent cx="5393055" cy="2393315"/>
            <wp:effectExtent l="0" t="0" r="0" b="0"/>
            <wp:docPr id="12"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5" descr=""/>
                    <pic:cNvPicPr>
                      <a:picLocks noChangeAspect="1" noChangeArrowheads="1"/>
                    </pic:cNvPicPr>
                  </pic:nvPicPr>
                  <pic:blipFill>
                    <a:blip r:embed="rId14"/>
                    <a:stretch>
                      <a:fillRect/>
                    </a:stretch>
                  </pic:blipFill>
                  <pic:spPr bwMode="auto">
                    <a:xfrm>
                      <a:off x="0" y="0"/>
                      <a:ext cx="5393055" cy="2393315"/>
                    </a:xfrm>
                    <a:prstGeom prst="rect">
                      <a:avLst/>
                    </a:prstGeom>
                  </pic:spPr>
                </pic:pic>
              </a:graphicData>
            </a:graphic>
          </wp:inline>
        </w:drawing>
      </w:r>
    </w:p>
    <w:p>
      <w:pPr>
        <w:pStyle w:val="06Normal"/>
        <w:rPr>
          <w:rFonts w:eastAsia="Arial Unicode MS"/>
        </w:rPr>
      </w:pPr>
      <w:r>
        <w:rPr>
          <w:rFonts w:eastAsia="Arial Unicode MS"/>
        </w:rPr>
        <w:t>V katalógu cieľového stavu povinná osoba zaznačí všetky datasety plánované na zverejnenie a datasety ktoré nezverejnení. U každého zverejňovaného datasetu povinná osoba uvedie náročnosť zverejnenia a kvalitu datasetu.</w:t>
      </w:r>
    </w:p>
    <w:p>
      <w:pPr>
        <w:pStyle w:val="06Normal"/>
        <w:rPr>
          <w:rFonts w:eastAsia="Arial Unicode MS"/>
        </w:rPr>
      </w:pPr>
      <w:r>
        <w:rPr>
          <w:rFonts w:eastAsia="Arial Unicode MS"/>
        </w:rPr>
        <w:t>Cieľový stav obsahuje ciele publikovania otvorených dát povinnej osoby v súlade s cieľmi vlastníka dát.</w:t>
      </w:r>
    </w:p>
    <w:p>
      <w:pPr>
        <w:pStyle w:val="Heading2"/>
        <w:numPr>
          <w:ilvl w:val="1"/>
          <w:numId w:val="8"/>
        </w:numPr>
        <w:rPr/>
      </w:pPr>
      <w:bookmarkStart w:id="70" w:name="_Toc367325048"/>
      <w:bookmarkEnd w:id="70"/>
      <w:r>
        <w:rPr>
          <w:rFonts w:eastAsia="Arial Unicode MS"/>
        </w:rPr>
        <w:t>Časový harmonogram vytvárania a sprístupňovania datasetov</w:t>
      </w:r>
    </w:p>
    <w:p>
      <w:pPr>
        <w:pStyle w:val="06Normal"/>
        <w:rPr>
          <w:rFonts w:eastAsia="Arial Unicode MS"/>
        </w:rPr>
      </w:pPr>
      <w:r>
        <w:rPr>
          <w:rFonts w:eastAsia="Arial Unicode MS"/>
        </w:rPr>
        <w:t xml:space="preserve">Nie je možné publikovať všetky datasety v jednom okamihu. Preto povinná osoba  vypracuje, na ďalší kalendárny rok, časový harmonogram vytvárania a sprístupňovania datasetov (plán zverejnenia datasetov), ktorý zverejní do 31. decembra. </w:t>
      </w:r>
    </w:p>
    <w:p>
      <w:pPr>
        <w:pStyle w:val="12Caption"/>
        <w:rPr/>
      </w:pPr>
      <w:r>
        <w:rPr/>
        <w:t>Definovanie plánu zverejnenia</w:t>
      </w:r>
    </w:p>
    <w:p>
      <w:pPr>
        <w:pStyle w:val="06Normal"/>
        <w:rPr>
          <w:rFonts w:eastAsia="Arial Unicode MS"/>
        </w:rPr>
      </w:pPr>
      <w:r>
        <w:rPr/>
        <w:drawing>
          <wp:inline distT="0" distB="0" distL="0" distR="0">
            <wp:extent cx="5393055" cy="2393315"/>
            <wp:effectExtent l="0" t="0" r="0" b="0"/>
            <wp:docPr id="13"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descr=""/>
                    <pic:cNvPicPr>
                      <a:picLocks noChangeAspect="1" noChangeArrowheads="1"/>
                    </pic:cNvPicPr>
                  </pic:nvPicPr>
                  <pic:blipFill>
                    <a:blip r:embed="rId15"/>
                    <a:stretch>
                      <a:fillRect/>
                    </a:stretch>
                  </pic:blipFill>
                  <pic:spPr bwMode="auto">
                    <a:xfrm>
                      <a:off x="0" y="0"/>
                      <a:ext cx="5393055" cy="2393315"/>
                    </a:xfrm>
                    <a:prstGeom prst="rect">
                      <a:avLst/>
                    </a:prstGeom>
                  </pic:spPr>
                </pic:pic>
              </a:graphicData>
            </a:graphic>
          </wp:inline>
        </w:drawing>
      </w:r>
    </w:p>
    <w:p>
      <w:pPr>
        <w:pStyle w:val="Normal"/>
        <w:rPr>
          <w:rFonts w:eastAsia="Arial Unicode MS"/>
        </w:rPr>
      </w:pPr>
      <w:r>
        <w:rPr>
          <w:rFonts w:eastAsia="Arial Unicode MS"/>
        </w:rPr>
      </w:r>
    </w:p>
    <w:p>
      <w:pPr>
        <w:pStyle w:val="Normal"/>
        <w:rPr>
          <w:rFonts w:eastAsia="Arial Unicode MS"/>
        </w:rPr>
      </w:pPr>
      <w:r>
        <w:rPr>
          <w:rFonts w:eastAsia="Arial Unicode MS"/>
        </w:rPr>
        <w:t>Na základe finálneho výberu a stanovenia priority publikovania datasetov, povinná osoba určí termín vytvorenia a sprístupnenia jednotlivých datasetoch z  katalógu potenciálnych datasetov pre publikovanie v podobe otvorených dát a vytvorí časový harmonogram vytvárania a sprístupňovania datasetov.</w:t>
      </w:r>
    </w:p>
    <w:p>
      <w:pPr>
        <w:pStyle w:val="Normal"/>
        <w:rPr>
          <w:rFonts w:eastAsia="Arial Unicode MS"/>
        </w:rPr>
      </w:pPr>
      <w:r>
        <w:rPr>
          <w:rFonts w:eastAsia="Arial Unicode MS"/>
        </w:rPr>
        <w:t>Po schválení časového harmonogramu vytvárania a sprístupňovania datasetov štatutárnym zástupcom povinnej osoby, povinná osoba publikuje časový harmonogram vytvárania a sprístupňovania datasetov vo forme datasetu v Centrálnom katalógu otvorených dát.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Heading1"/>
        <w:numPr>
          <w:ilvl w:val="0"/>
          <w:numId w:val="8"/>
        </w:numPr>
        <w:rPr/>
      </w:pPr>
      <w:bookmarkStart w:id="71" w:name="_Toc367325049"/>
      <w:bookmarkEnd w:id="71"/>
      <w:r>
        <w:rPr/>
        <w:t>Príloha č.1 – Základné pojmy</w:t>
      </w:r>
    </w:p>
    <w:p>
      <w:pPr>
        <w:pStyle w:val="Normal"/>
        <w:rPr/>
      </w:pPr>
      <w:r>
        <w:rPr/>
      </w:r>
    </w:p>
    <w:tbl>
      <w:tblPr>
        <w:tblW w:w="8505" w:type="dxa"/>
        <w:jc w:val="lef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7" w:type="dxa"/>
          <w:left w:w="103" w:type="dxa"/>
          <w:bottom w:w="57" w:type="dxa"/>
          <w:right w:w="108" w:type="dxa"/>
        </w:tblCellMar>
        <w:tblLook w:val="01e0" w:noVBand="0" w:noHBand="0" w:lastColumn="1" w:firstColumn="1" w:lastRow="1" w:firstRow="1"/>
      </w:tblPr>
      <w:tblGrid>
        <w:gridCol w:w="1979"/>
        <w:gridCol w:w="6525"/>
      </w:tblGrid>
      <w:tr>
        <w:trPr>
          <w:tblHeader w:val="true"/>
          <w:trHeight w:val="401" w:hRule="atLeast"/>
        </w:trPr>
        <w:tc>
          <w:tcPr>
            <w:tcW w:w="850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1F497D" w:val="clear"/>
            <w:tcMar>
              <w:left w:w="103" w:type="dxa"/>
            </w:tcMar>
            <w:vAlign w:val="center"/>
          </w:tcPr>
          <w:p>
            <w:pPr>
              <w:pStyle w:val="TextBody"/>
              <w:spacing w:before="0" w:after="0"/>
              <w:jc w:val="center"/>
              <w:rPr>
                <w:rFonts w:ascii="Arial" w:hAnsi="Arial" w:cs="Arial"/>
                <w:b/>
                <w:b/>
                <w:color w:val="FFFFFF"/>
                <w:sz w:val="24"/>
                <w:szCs w:val="22"/>
                <w:lang w:val="sk-SK"/>
              </w:rPr>
            </w:pPr>
            <w:r>
              <w:rPr>
                <w:rFonts w:cs="Arial" w:ascii="Arial" w:hAnsi="Arial"/>
                <w:b/>
                <w:color w:val="FFFFFF"/>
                <w:sz w:val="24"/>
                <w:szCs w:val="22"/>
                <w:lang w:val="sk-SK"/>
              </w:rPr>
              <w:t>Definícia základných pojmov</w:t>
            </w:r>
          </w:p>
        </w:tc>
      </w:tr>
      <w:tr>
        <w:trPr>
          <w:tblHeader w:val="true"/>
          <w:trHeight w:val="363" w:hRule="atLeast"/>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6EA5C4" w:val="clear"/>
            <w:tcMar>
              <w:left w:w="103" w:type="dxa"/>
            </w:tcMar>
            <w:vAlign w:val="center"/>
          </w:tcPr>
          <w:p>
            <w:pPr>
              <w:pStyle w:val="TextBody"/>
              <w:spacing w:before="0" w:after="0"/>
              <w:jc w:val="center"/>
              <w:rPr>
                <w:rFonts w:ascii="Arial" w:hAnsi="Arial" w:cs="Arial"/>
                <w:b/>
                <w:b/>
                <w:color w:val="FFFFFF"/>
                <w:sz w:val="24"/>
                <w:szCs w:val="22"/>
                <w:lang w:val="sk-SK"/>
              </w:rPr>
            </w:pPr>
            <w:r>
              <w:rPr>
                <w:rFonts w:cs="Arial" w:ascii="Arial" w:hAnsi="Arial"/>
                <w:b/>
                <w:color w:val="FFFFFF"/>
                <w:sz w:val="24"/>
                <w:szCs w:val="22"/>
                <w:lang w:val="sk-SK"/>
              </w:rPr>
              <w:t>Pojem</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6EA5C4" w:val="clear"/>
            <w:tcMar>
              <w:left w:w="103" w:type="dxa"/>
            </w:tcMar>
            <w:vAlign w:val="center"/>
          </w:tcPr>
          <w:p>
            <w:pPr>
              <w:pStyle w:val="TextBody"/>
              <w:spacing w:before="0" w:after="0"/>
              <w:jc w:val="center"/>
              <w:rPr>
                <w:rFonts w:ascii="Arial" w:hAnsi="Arial" w:cs="Arial"/>
                <w:b/>
                <w:b/>
                <w:color w:val="FFFFFF"/>
                <w:sz w:val="24"/>
                <w:szCs w:val="22"/>
                <w:lang w:val="sk-SK"/>
              </w:rPr>
            </w:pPr>
            <w:r>
              <w:rPr>
                <w:rFonts w:cs="Arial" w:ascii="Arial" w:hAnsi="Arial"/>
                <w:b/>
                <w:color w:val="FFFFFF"/>
                <w:sz w:val="24"/>
                <w:szCs w:val="22"/>
                <w:lang w:val="sk-SK"/>
              </w:rPr>
              <w:t>Definícia</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Prístup cez aplikačné rozhranie - API</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Ide o aktívny prístup, kde používateľ zadáva serveru dotazy na konkrétne požadovaná údaje, ktoré server po spracovaní dotazu vyhľadá a odošle</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06Normal"/>
              <w:spacing w:before="120" w:after="0"/>
              <w:jc w:val="left"/>
              <w:rPr/>
            </w:pPr>
            <w:r>
              <w:rPr/>
              <w:t>Centrálny katalóg otvorených dát</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pPr>
            <w:hyperlink r:id="rId16">
              <w:r>
                <w:rPr>
                  <w:rStyle w:val="Internetovodkaz"/>
                  <w:rFonts w:cs="Arial" w:ascii="Arial" w:hAnsi="Arial"/>
                  <w:spacing w:val="-1"/>
                  <w:sz w:val="20"/>
                  <w:szCs w:val="22"/>
                  <w:lang w:val="sk-SK"/>
                </w:rPr>
                <w:t>data.gov.sk</w:t>
              </w:r>
            </w:hyperlink>
            <w:r>
              <w:rPr>
                <w:rFonts w:cs="Arial" w:ascii="Arial" w:hAnsi="Arial"/>
                <w:spacing w:val="-1"/>
                <w:sz w:val="20"/>
                <w:szCs w:val="22"/>
                <w:lang w:val="sk-SK"/>
              </w:rPr>
              <w:t xml:space="preserve"> - Centrálny katalóg otvorených údajov, ďalej „centrálny katalóg“, je informačný systém verejnej správy, ktorý obsahuje údaje o informáciách sprístupňovaných na opakované použitie a otvorených údajoch, najmä ich obsah, metaúdaje, podmienky použitia a obmedzenia použitia.</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pPr>
            <w:ins w:id="188" w:author="Miroslav Líška" w:date="2017-09-26T12:09:38Z">
              <w:r>
                <w:rPr/>
                <w:t>Centrálny model údajov verejnej správy</w:t>
              </w:r>
            </w:ins>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60"/>
              <w:rPr/>
            </w:pPr>
            <w:ins w:id="189" w:author="Miroslav Líška" w:date="2017-09-26T12:09:48Z">
              <w:r>
                <w:rPr/>
                <w:t xml:space="preserve">Je množina ontológií popisuca jednotným spôsobom </w:t>
              </w:r>
            </w:ins>
            <w:ins w:id="190" w:author="Miroslav Líška" w:date="2017-09-26T12:10:00Z">
              <w:r>
                <w:rPr/>
                <w:t xml:space="preserve">entity a ich vzťahy nad centrálnymi údajmi ako sú:  </w:t>
              </w:r>
            </w:ins>
            <w:ins w:id="191" w:author="Miroslav Líška" w:date="2017-09-26T12:10:00Z">
              <w:r>
                <w:rPr>
                  <w:rFonts w:eastAsia="Times New Roman"/>
                </w:rPr>
                <w:t>referenčné údaje, centrálne registre, údaje v rozsahu metais, resp. prioritné datasety, publikačné minimum samosprávy, publikované údaje a poskytované elektronické služby miest a obcí – DCOM. Pre zabezpeč</w:t>
              </w:r>
            </w:ins>
            <w:ins w:id="192" w:author="Miroslav Líška" w:date="2017-09-26T12:11:00Z">
              <w:r>
                <w:rPr>
                  <w:rFonts w:eastAsia="Times New Roman"/>
                </w:rPr>
                <w:t>enie interoperability na nadnárovnej úrovni je Centrálny model mapovaný na Core Public Vocabularies od Európskej komisie.</w:t>
              </w:r>
            </w:ins>
          </w:p>
        </w:tc>
      </w:tr>
      <w:tr>
        <w:trPr>
          <w:trHeight w:val="283" w:hRule="atLeast"/>
          <w:cantSplit w:val="true"/>
        </w:trPr>
        <w:tc>
          <w:tcPr>
            <w:tcW w:w="1979" w:type="dxa"/>
            <w:tcBorders>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Dataset</w:t>
            </w:r>
          </w:p>
        </w:tc>
        <w:tc>
          <w:tcPr>
            <w:tcW w:w="6525" w:type="dxa"/>
            <w:tcBorders>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60"/>
              <w:rPr>
                <w:rFonts w:ascii="Arial" w:hAnsi="Arial" w:cs="Arial"/>
                <w:spacing w:val="-1"/>
                <w:sz w:val="20"/>
                <w:szCs w:val="22"/>
                <w:lang w:val="sk-SK"/>
              </w:rPr>
            </w:pPr>
            <w:r>
              <w:rPr>
                <w:rFonts w:cs="Arial" w:ascii="Arial" w:hAnsi="Arial"/>
                <w:spacing w:val="-1"/>
                <w:sz w:val="20"/>
                <w:szCs w:val="22"/>
                <w:lang w:val="sk-SK"/>
              </w:rPr>
              <w:t>Ucelená a samostatne použiteľná skupina súvisiacich údajov vytvorených a udržiavaných na určitý účel a uložených spoločne podľa rovnakej schémy</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06Normal"/>
              <w:spacing w:before="120" w:after="0"/>
              <w:jc w:val="left"/>
              <w:rPr/>
            </w:pPr>
            <w:r>
              <w:rPr/>
              <w:t>Dátový zdroj</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Pôvodné miesto evidencie datasetu. Dátové zdroje verejnej správy sú vytvárané za účelom podpory služieb verejnej správy, služieb vo verejnom záujme alebo verejných služieb. Jednotlivé agendy súvisiace s výkonom verejnej správy môžu obsahovať viaceré dátové zdroje. Charakteristickým znakom dátového zdroja je jeho samostatná použiteľnosť (výpovedná hodnota) nezávisle od iných dátových zdrojov. Ďalšími znakmi popisujúcimi dátový zdroj sú názov, účel (zameranie), typy spracúvaných údajov a vzťahy medzi nimi, formát údajov a podobne – tzv. metadáta.</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Linked Data</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60"/>
              <w:rPr>
                <w:rFonts w:ascii="Arial" w:hAnsi="Arial" w:cs="Arial"/>
                <w:sz w:val="20"/>
                <w:szCs w:val="22"/>
                <w:lang w:val="sk-SK"/>
              </w:rPr>
            </w:pPr>
            <w:r>
              <w:rPr>
                <w:rFonts w:cs="Arial" w:ascii="Arial" w:hAnsi="Arial"/>
                <w:sz w:val="20"/>
                <w:szCs w:val="22"/>
                <w:lang w:val="sk-SK"/>
              </w:rPr>
              <w:t>Prelinkovaním umožňujú vytvoriť ekosystém poznania - webových služieb (aplikácií), ktoré publikujú, obohacujú a využívajú dáta o entitách v jednom globálnom zdieľanom dátovom priestore (Web of data).</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06Normal"/>
              <w:spacing w:before="120" w:after="0"/>
              <w:jc w:val="left"/>
              <w:rPr/>
            </w:pPr>
            <w:r>
              <w:rPr/>
              <w:t>Metadáta pre dataset</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60"/>
              <w:rPr/>
            </w:pPr>
            <w:r>
              <w:rPr>
                <w:rFonts w:cs="Arial" w:ascii="Arial" w:hAnsi="Arial"/>
                <w:spacing w:val="-1"/>
                <w:sz w:val="20"/>
                <w:szCs w:val="22"/>
                <w:lang w:val="sk-SK"/>
              </w:rPr>
              <w:t>Štruktúrované údaje obsahujúce informácie o primárnych údajoch – dátovom zdroji, pričom primárne údaje spravidla reprezentujú určitý hmotný objekt alebo nehmotný objekt. Metaúdaje sú určené najmä na vyhľadávanie, katalogizáciu a využívanie primárnych údajov.</w:t>
            </w:r>
            <w:ins w:id="193" w:author="Miroslav Líška" w:date="2017-09-26T12:11:58Z">
              <w:r>
                <w:rPr>
                  <w:rFonts w:cs="Arial" w:ascii="Arial" w:hAnsi="Arial"/>
                  <w:spacing w:val="-1"/>
                  <w:sz w:val="20"/>
                  <w:szCs w:val="22"/>
                  <w:lang w:val="sk-SK"/>
                </w:rPr>
                <w:t xml:space="preserve"> </w:t>
              </w:r>
            </w:ins>
            <w:ins w:id="194" w:author="Miroslav Líška" w:date="2017-09-26T12:11:58Z">
              <w:r>
                <w:rPr>
                  <w:rFonts w:cs="Arial" w:ascii="Arial" w:hAnsi="Arial"/>
                  <w:spacing w:val="-1"/>
                  <w:sz w:val="20"/>
                  <w:szCs w:val="22"/>
                  <w:lang w:val="sk-SK"/>
                </w:rPr>
                <w:t xml:space="preserve">Pre </w:t>
              </w:r>
            </w:ins>
            <w:ins w:id="195" w:author="Miroslav Líška" w:date="2017-09-26T12:12:00Z">
              <w:r>
                <w:rPr>
                  <w:rFonts w:cs="Arial" w:ascii="Arial" w:hAnsi="Arial"/>
                  <w:spacing w:val="-1"/>
                  <w:sz w:val="20"/>
                  <w:szCs w:val="22"/>
                  <w:lang w:val="sk-SK"/>
                </w:rPr>
                <w:t>úroveň 4</w:t>
              </w:r>
            </w:ins>
            <w:ins w:id="196" w:author="Miroslav Líška" w:date="2017-09-26T12:12:00Z">
              <w:r>
                <w:rPr>
                  <w:rFonts w:eastAsia="Times New Roman" w:cs="Arial" w:ascii="Arial" w:hAnsi="Arial"/>
                  <w:spacing w:val="-1"/>
                  <w:sz w:val="20"/>
                  <w:szCs w:val="22"/>
                  <w:lang w:val="sk-SK"/>
                </w:rPr>
                <w:t>★ a 5★ sú metadáta reprezentované vo forme ontológie.</w:t>
              </w:r>
            </w:ins>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Otvorené údaje (Open Data)</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60"/>
              <w:rPr>
                <w:rFonts w:ascii="Arial" w:hAnsi="Arial" w:cs="Arial"/>
                <w:sz w:val="20"/>
                <w:szCs w:val="22"/>
                <w:lang w:val="sk-SK"/>
              </w:rPr>
            </w:pPr>
            <w:r>
              <w:rPr>
                <w:rFonts w:cs="Arial" w:ascii="Arial" w:hAnsi="Arial"/>
                <w:sz w:val="20"/>
                <w:szCs w:val="22"/>
                <w:lang w:val="sk-SK"/>
              </w:rPr>
              <w:t>Otvorené údaje (OpenData) je názov pre paradigmu, v ktorej je možné s údajmi voľne pracovať. To znamená, že údaje musia byť dostupné, zrozumiteľné a práca s nimi musí byť možná bez obmedzení.</w:t>
            </w:r>
          </w:p>
          <w:p>
            <w:pPr>
              <w:pStyle w:val="TextBody"/>
              <w:spacing w:before="0" w:after="60"/>
              <w:rPr>
                <w:rFonts w:ascii="Arial" w:hAnsi="Arial" w:cs="Arial"/>
                <w:sz w:val="20"/>
                <w:szCs w:val="22"/>
                <w:lang w:val="sk-SK"/>
              </w:rPr>
            </w:pPr>
            <w:r>
              <w:rPr>
                <w:rFonts w:cs="Arial" w:ascii="Arial" w:hAnsi="Arial"/>
                <w:sz w:val="20"/>
                <w:szCs w:val="22"/>
                <w:lang w:val="sk-SK"/>
              </w:rPr>
              <w:t>V kontexte verejnej správy to znamená nasledovné:</w:t>
            </w:r>
          </w:p>
          <w:p>
            <w:pPr>
              <w:pStyle w:val="08Bullet01"/>
              <w:numPr>
                <w:ilvl w:val="0"/>
                <w:numId w:val="2"/>
              </w:numPr>
              <w:rPr/>
            </w:pPr>
            <w:r>
              <w:rPr/>
              <w:t>pre každú organizáciu je dostupný zverejnený zoznam jej dátových zdrojov a ich základný popis,</w:t>
            </w:r>
          </w:p>
          <w:p>
            <w:pPr>
              <w:pStyle w:val="08Bullet01"/>
              <w:numPr>
                <w:ilvl w:val="0"/>
                <w:numId w:val="2"/>
              </w:numPr>
              <w:rPr/>
            </w:pPr>
            <w:r>
              <w:rPr/>
              <w:t>obsah dátového zdroja (samotné údaje) sú proaktívne bezplatne sprístupnené neobmedzenému okruhu záujemcov,</w:t>
            </w:r>
          </w:p>
          <w:p>
            <w:pPr>
              <w:pStyle w:val="08Bullet01"/>
              <w:numPr>
                <w:ilvl w:val="0"/>
                <w:numId w:val="2"/>
              </w:numPr>
              <w:rPr/>
            </w:pPr>
            <w:r>
              <w:rPr/>
              <w:t>údaje sú sprístupnené v tvare umožňujúcom ďalšie automatizované spracúvanie, čo sa dosiahne dodržaním stanovených technologických štandardov, ktorých základom je používanie otvorených a technologicky neutrálnych riešení,</w:t>
            </w:r>
          </w:p>
          <w:p>
            <w:pPr>
              <w:pStyle w:val="08Bullet01"/>
              <w:numPr>
                <w:ilvl w:val="0"/>
                <w:numId w:val="2"/>
              </w:numPr>
              <w:spacing w:before="0" w:after="120"/>
              <w:rPr/>
            </w:pPr>
            <w:r>
              <w:rPr/>
              <w:t>ďalšiemu používaniu údajov (napr. ich spracovaniu, zverejneniu, spájaniu s inými údajmi) nie sú kladené žiadne legálne prekážky.</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06Normal"/>
              <w:spacing w:before="120" w:after="0"/>
              <w:jc w:val="left"/>
              <w:rPr/>
            </w:pPr>
            <w:r>
              <w:rPr/>
              <w:t>Podporná aplikácia</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Softvér pre zverejňovanie dát a metadát, dodávaný ako template v rámci MOD. Zabezpečuje synchronizáciu dát a metadát medzi MOD a systémom povinnej osoby. Umožňuje spracovávať a zverejňovať dokumenty, relačné a textové dáta zo súborového systému, databáz alebo API.</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Poskytovateľ údajov</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60"/>
              <w:rPr>
                <w:rFonts w:ascii="Arial" w:hAnsi="Arial" w:cs="Arial"/>
                <w:sz w:val="20"/>
                <w:szCs w:val="22"/>
                <w:lang w:val="sk-SK"/>
              </w:rPr>
            </w:pPr>
            <w:r>
              <w:rPr>
                <w:rFonts w:cs="Arial" w:ascii="Arial" w:hAnsi="Arial"/>
                <w:sz w:val="20"/>
                <w:szCs w:val="22"/>
                <w:lang w:val="sk-SK"/>
              </w:rPr>
              <w:t>Je povinná osoba zodpovedná za správnosť a aktuálnosť údajov zverejnených v datasete ako otvorené údaje. Je poverená vykonávať riadenie a koordinovanie registrácie a zverejnenia datasetu určitého úseku verejnej správy.</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Používateľ údajov</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60"/>
              <w:rPr>
                <w:rFonts w:ascii="Arial" w:hAnsi="Arial" w:cs="Arial"/>
                <w:spacing w:val="-1"/>
                <w:sz w:val="20"/>
                <w:szCs w:val="22"/>
                <w:lang w:val="sk-SK"/>
              </w:rPr>
            </w:pPr>
            <w:r>
              <w:rPr>
                <w:rFonts w:cs="Arial" w:ascii="Arial" w:hAnsi="Arial"/>
                <w:spacing w:val="-1"/>
                <w:sz w:val="20"/>
                <w:szCs w:val="22"/>
                <w:lang w:val="sk-SK"/>
              </w:rPr>
              <w:t>Používateľom údajov osoba, organizácia alebo informačný systém, ktorí používajú alebo požadujú poskytovanie datasetov otvorených údajov verejnej správy.</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pPr>
            <w:ins w:id="197" w:author="Miroslav Líška" w:date="2017-09-26T12:13:45Z">
              <w:r>
                <w:rPr>
                  <w:rFonts w:cs="Arial" w:ascii="Arial" w:hAnsi="Arial"/>
                  <w:spacing w:val="-1"/>
                  <w:sz w:val="20"/>
                  <w:szCs w:val="22"/>
                  <w:lang w:val="sk-SK"/>
                </w:rPr>
                <w:commentReference w:id="5"/>
              </w:r>
            </w:ins>
            <w:del w:id="198" w:author="Miroslav Líška" w:date="2017-09-26T12:13:40Z">
              <w:r>
                <w:rPr>
                  <w:rFonts w:cs="Arial" w:ascii="Arial" w:hAnsi="Arial"/>
                  <w:spacing w:val="-1"/>
                  <w:sz w:val="20"/>
                  <w:szCs w:val="22"/>
                  <w:lang w:val="sk-SK"/>
                </w:rPr>
                <w:delText>Referencovateľný identifikátor</w:delText>
              </w:r>
            </w:del>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60"/>
              <w:rPr>
                <w:rFonts w:ascii="Arial" w:hAnsi="Arial" w:cs="Arial"/>
                <w:spacing w:val="-1"/>
                <w:sz w:val="20"/>
                <w:szCs w:val="22"/>
                <w:lang w:val="sk-SK"/>
              </w:rPr>
            </w:pPr>
            <w:del w:id="199" w:author="Miroslav Líška" w:date="2017-09-26T12:13:40Z">
              <w:r>
                <w:rPr>
                  <w:rFonts w:cs="Arial" w:ascii="Arial" w:hAnsi="Arial"/>
                  <w:spacing w:val="-1"/>
                  <w:sz w:val="20"/>
                  <w:szCs w:val="22"/>
                  <w:lang w:val="sk-SK"/>
                </w:rPr>
                <w:delText>Ide identifikátor dátového zdroja, ktorý referencuje samotné údaje, t.j. po zadaní identifikátora do prehliadača je používateľ presmerovaný na URL vyplnené v metaúdajoch dátového zdroja, napr.:</w:delText>
              </w:r>
            </w:del>
          </w:p>
          <w:p>
            <w:pPr>
              <w:pStyle w:val="TextBody"/>
              <w:spacing w:before="0" w:after="60"/>
              <w:rPr/>
            </w:pPr>
            <w:del w:id="200" w:author="Miroslav Líška" w:date="2017-09-26T12:13:40Z">
              <w:r>
                <w:rPr>
                  <w:rStyle w:val="Internetovodkaz"/>
                  <w:rFonts w:cs="Arial" w:ascii="Arial" w:hAnsi="Arial"/>
                  <w:spacing w:val="-1"/>
                  <w:sz w:val="20"/>
                  <w:szCs w:val="22"/>
                  <w:lang w:val="sk-SK"/>
                </w:rPr>
                <w:delText>http://data.gov.sk/data/uvo/zmluvy/zmluvy</w:delText>
              </w:r>
            </w:del>
            <w:del w:id="201" w:author="Miroslav Líška" w:date="2017-09-26T12:13:40Z">
              <w:r>
                <w:rPr>
                  <w:rFonts w:cs="Arial" w:ascii="Arial" w:hAnsi="Arial"/>
                  <w:spacing w:val="-1"/>
                  <w:sz w:val="20"/>
                  <w:szCs w:val="22"/>
                  <w:lang w:val="sk-SK"/>
                </w:rPr>
                <w:delText xml:space="preserve"> </w:delText>
              </w:r>
            </w:del>
          </w:p>
          <w:p>
            <w:pPr>
              <w:pStyle w:val="TextBody"/>
              <w:spacing w:before="0" w:after="60"/>
              <w:rPr>
                <w:rFonts w:ascii="Arial" w:hAnsi="Arial" w:cs="Arial"/>
                <w:spacing w:val="-1"/>
                <w:sz w:val="20"/>
                <w:szCs w:val="22"/>
                <w:lang w:val="sk-SK"/>
              </w:rPr>
            </w:pPr>
            <w:del w:id="202" w:author="Miroslav Líška" w:date="2017-09-26T12:13:40Z">
              <w:r>
                <w:rPr>
                  <w:rFonts w:cs="Arial" w:ascii="Arial" w:hAnsi="Arial"/>
                  <w:spacing w:val="-1"/>
                  <w:sz w:val="20"/>
                  <w:szCs w:val="22"/>
                  <w:lang w:val="sk-SK"/>
                </w:rPr>
                <w:delText>Referencovateľným identifikátorom je teda identifikátor, ktorý:</w:delText>
              </w:r>
            </w:del>
          </w:p>
          <w:p>
            <w:pPr>
              <w:pStyle w:val="TextBody"/>
              <w:numPr>
                <w:ilvl w:val="6"/>
                <w:numId w:val="9"/>
              </w:numPr>
              <w:spacing w:before="0" w:after="60"/>
              <w:rPr>
                <w:rFonts w:ascii="Arial" w:hAnsi="Arial" w:cs="Arial"/>
                <w:spacing w:val="-1"/>
                <w:sz w:val="20"/>
                <w:szCs w:val="22"/>
                <w:lang w:val="sk-SK"/>
              </w:rPr>
            </w:pPr>
            <w:del w:id="203" w:author="Miroslav Líška" w:date="2017-09-26T12:13:40Z">
              <w:r>
                <w:rPr>
                  <w:rFonts w:cs="Arial" w:ascii="Arial" w:hAnsi="Arial"/>
                  <w:spacing w:val="-1"/>
                  <w:sz w:val="20"/>
                  <w:szCs w:val="22"/>
                  <w:lang w:val="sk-SK"/>
                </w:rPr>
                <w:delText>má formát Uniformied Resource Identifier (URI),</w:delText>
              </w:r>
            </w:del>
          </w:p>
          <w:p>
            <w:pPr>
              <w:pStyle w:val="TextBody"/>
              <w:numPr>
                <w:ilvl w:val="6"/>
                <w:numId w:val="9"/>
              </w:numPr>
              <w:spacing w:before="0" w:after="60"/>
              <w:rPr>
                <w:rFonts w:ascii="Arial" w:hAnsi="Arial" w:cs="Arial"/>
                <w:spacing w:val="-1"/>
                <w:sz w:val="20"/>
                <w:szCs w:val="22"/>
                <w:lang w:val="sk-SK"/>
              </w:rPr>
            </w:pPr>
            <w:del w:id="204" w:author="Miroslav Líška" w:date="2017-09-26T12:13:40Z">
              <w:r>
                <w:rPr>
                  <w:rFonts w:cs="Arial" w:ascii="Arial" w:hAnsi="Arial"/>
                  <w:spacing w:val="-1"/>
                  <w:sz w:val="20"/>
                  <w:szCs w:val="22"/>
                  <w:lang w:val="sk-SK"/>
                </w:rPr>
                <w:delText>je jednoznačný,</w:delText>
              </w:r>
            </w:del>
          </w:p>
          <w:p>
            <w:pPr>
              <w:pStyle w:val="TextBody"/>
              <w:numPr>
                <w:ilvl w:val="6"/>
                <w:numId w:val="9"/>
              </w:numPr>
              <w:spacing w:before="0" w:after="60"/>
              <w:rPr>
                <w:rFonts w:ascii="Arial" w:hAnsi="Arial" w:cs="Arial"/>
                <w:spacing w:val="-1"/>
                <w:sz w:val="20"/>
                <w:szCs w:val="22"/>
                <w:lang w:val="sk-SK"/>
              </w:rPr>
            </w:pPr>
            <w:del w:id="205" w:author="Miroslav Líška" w:date="2017-09-26T12:13:40Z">
              <w:r>
                <w:rPr>
                  <w:rFonts w:cs="Arial" w:ascii="Arial" w:hAnsi="Arial"/>
                  <w:spacing w:val="-1"/>
                  <w:sz w:val="20"/>
                  <w:szCs w:val="22"/>
                  <w:lang w:val="sk-SK"/>
                </w:rPr>
                <w:delText>je unikátny,</w:delText>
              </w:r>
            </w:del>
          </w:p>
          <w:p>
            <w:pPr>
              <w:pStyle w:val="TextBody"/>
              <w:numPr>
                <w:ilvl w:val="6"/>
                <w:numId w:val="9"/>
              </w:numPr>
              <w:spacing w:before="0" w:after="60"/>
              <w:rPr>
                <w:rFonts w:ascii="Arial" w:hAnsi="Arial" w:cs="Arial"/>
                <w:spacing w:val="-1"/>
                <w:sz w:val="20"/>
                <w:szCs w:val="22"/>
                <w:lang w:val="sk-SK"/>
              </w:rPr>
            </w:pPr>
            <w:del w:id="206" w:author="Miroslav Líška" w:date="2017-09-26T12:13:40Z">
              <w:r>
                <w:rPr>
                  <w:rFonts w:cs="Arial" w:ascii="Arial" w:hAnsi="Arial"/>
                  <w:spacing w:val="-1"/>
                  <w:sz w:val="20"/>
                  <w:szCs w:val="22"/>
                  <w:lang w:val="sk-SK"/>
                </w:rPr>
                <w:delText>je dlhodobo stabilný,</w:delText>
              </w:r>
            </w:del>
          </w:p>
          <w:p>
            <w:pPr>
              <w:pStyle w:val="TextBody"/>
              <w:numPr>
                <w:ilvl w:val="6"/>
                <w:numId w:val="9"/>
              </w:numPr>
              <w:spacing w:before="0" w:after="60"/>
              <w:rPr>
                <w:rFonts w:ascii="Arial" w:hAnsi="Arial" w:cs="Arial"/>
                <w:spacing w:val="-1"/>
                <w:sz w:val="20"/>
                <w:szCs w:val="22"/>
                <w:lang w:val="sk-SK"/>
              </w:rPr>
            </w:pPr>
            <w:del w:id="207" w:author="Miroslav Líška" w:date="2017-09-26T12:13:40Z">
              <w:r>
                <w:rPr>
                  <w:rFonts w:cs="Arial" w:ascii="Arial" w:hAnsi="Arial"/>
                  <w:spacing w:val="-1"/>
                  <w:sz w:val="20"/>
                  <w:szCs w:val="22"/>
                  <w:lang w:val="sk-SK"/>
                </w:rPr>
                <w:delText>je formátovo a štrukturálne konzistentný,</w:delText>
              </w:r>
            </w:del>
          </w:p>
          <w:p>
            <w:pPr>
              <w:pStyle w:val="TextBody"/>
              <w:numPr>
                <w:ilvl w:val="6"/>
                <w:numId w:val="9"/>
              </w:numPr>
              <w:spacing w:before="0" w:after="60"/>
              <w:rPr>
                <w:rFonts w:ascii="Arial" w:hAnsi="Arial" w:cs="Arial"/>
                <w:spacing w:val="-1"/>
                <w:sz w:val="20"/>
                <w:szCs w:val="22"/>
                <w:lang w:val="sk-SK"/>
              </w:rPr>
            </w:pPr>
            <w:del w:id="208" w:author="Miroslav Líška" w:date="2017-09-26T12:13:40Z">
              <w:r>
                <w:rPr>
                  <w:rFonts w:cs="Arial" w:ascii="Arial" w:hAnsi="Arial"/>
                  <w:spacing w:val="-1"/>
                  <w:sz w:val="20"/>
                  <w:szCs w:val="22"/>
                  <w:lang w:val="sk-SK"/>
                </w:rPr>
                <w:delText>je manažovateľný tak, aby umožňoval logicky rozširovať stanovenú štruktúru,</w:delText>
              </w:r>
            </w:del>
          </w:p>
          <w:p>
            <w:pPr>
              <w:pStyle w:val="TextBody"/>
              <w:numPr>
                <w:ilvl w:val="6"/>
                <w:numId w:val="9"/>
              </w:numPr>
              <w:spacing w:before="0" w:after="60"/>
              <w:rPr>
                <w:rFonts w:ascii="Arial" w:hAnsi="Arial" w:cs="Arial"/>
                <w:spacing w:val="-1"/>
                <w:sz w:val="20"/>
                <w:szCs w:val="22"/>
                <w:lang w:val="sk-SK"/>
              </w:rPr>
            </w:pPr>
            <w:del w:id="209" w:author="Miroslav Líška" w:date="2017-09-26T12:13:40Z">
              <w:r>
                <w:rPr>
                  <w:rFonts w:cs="Arial" w:ascii="Arial" w:hAnsi="Arial"/>
                  <w:spacing w:val="-1"/>
                  <w:sz w:val="20"/>
                  <w:szCs w:val="22"/>
                  <w:lang w:val="sk-SK"/>
                </w:rPr>
                <w:delText>je jasný, stručný a krátky,</w:delText>
              </w:r>
            </w:del>
          </w:p>
          <w:p>
            <w:pPr>
              <w:pStyle w:val="TextBody"/>
              <w:numPr>
                <w:ilvl w:val="6"/>
                <w:numId w:val="9"/>
              </w:numPr>
              <w:spacing w:before="0" w:after="60"/>
              <w:rPr>
                <w:rFonts w:ascii="Arial" w:hAnsi="Arial" w:cs="Arial"/>
                <w:spacing w:val="-1"/>
                <w:sz w:val="20"/>
                <w:szCs w:val="22"/>
                <w:lang w:val="sk-SK"/>
              </w:rPr>
            </w:pPr>
            <w:del w:id="210" w:author="Miroslav Líška" w:date="2017-09-26T12:13:40Z">
              <w:r>
                <w:rPr>
                  <w:rFonts w:cs="Arial" w:ascii="Arial" w:hAnsi="Arial"/>
                  <w:spacing w:val="-1"/>
                  <w:sz w:val="20"/>
                  <w:szCs w:val="22"/>
                  <w:lang w:val="sk-SK"/>
                </w:rPr>
                <w:delText>je pre fyzickú osobu jednoducho čitateľný,</w:delText>
              </w:r>
            </w:del>
          </w:p>
          <w:p>
            <w:pPr>
              <w:pStyle w:val="TextBody"/>
              <w:numPr>
                <w:ilvl w:val="6"/>
                <w:numId w:val="9"/>
              </w:numPr>
              <w:spacing w:before="0" w:after="60"/>
              <w:rPr>
                <w:rFonts w:ascii="Arial" w:hAnsi="Arial" w:cs="Arial"/>
                <w:spacing w:val="-1"/>
                <w:sz w:val="20"/>
                <w:szCs w:val="22"/>
                <w:lang w:val="sk-SK"/>
              </w:rPr>
            </w:pPr>
            <w:del w:id="211" w:author="Miroslav Líška" w:date="2017-09-26T12:13:40Z">
              <w:r>
                <w:rPr>
                  <w:rFonts w:cs="Arial" w:ascii="Arial" w:hAnsi="Arial"/>
                  <w:spacing w:val="-1"/>
                  <w:sz w:val="20"/>
                  <w:szCs w:val="22"/>
                  <w:lang w:val="sk-SK"/>
                </w:rPr>
                <w:delText>je bez súborových prípon,</w:delText>
              </w:r>
            </w:del>
          </w:p>
          <w:p>
            <w:pPr>
              <w:pStyle w:val="TextBody"/>
              <w:numPr>
                <w:ilvl w:val="6"/>
                <w:numId w:val="9"/>
              </w:numPr>
              <w:spacing w:before="0" w:after="60"/>
              <w:rPr>
                <w:rFonts w:ascii="Arial" w:hAnsi="Arial" w:cs="Arial"/>
                <w:spacing w:val="-1"/>
                <w:sz w:val="20"/>
                <w:szCs w:val="22"/>
                <w:lang w:val="sk-SK"/>
              </w:rPr>
            </w:pPr>
            <w:del w:id="212" w:author="Miroslav Líška" w:date="2017-09-26T12:13:40Z">
              <w:r>
                <w:rPr>
                  <w:rFonts w:cs="Arial" w:ascii="Arial" w:hAnsi="Arial"/>
                  <w:spacing w:val="-1"/>
                  <w:sz w:val="20"/>
                  <w:szCs w:val="22"/>
                  <w:lang w:val="sk-SK"/>
                </w:rPr>
                <w:delText>neobsahuje programátorské kľúčové slová,</w:delText>
              </w:r>
            </w:del>
          </w:p>
          <w:p>
            <w:pPr>
              <w:pStyle w:val="TextBody"/>
              <w:numPr>
                <w:ilvl w:val="6"/>
                <w:numId w:val="9"/>
              </w:numPr>
              <w:spacing w:before="0" w:after="60"/>
              <w:rPr>
                <w:rFonts w:ascii="Arial" w:hAnsi="Arial" w:cs="Arial"/>
                <w:spacing w:val="-1"/>
                <w:sz w:val="20"/>
                <w:szCs w:val="22"/>
                <w:lang w:val="sk-SK"/>
              </w:rPr>
            </w:pPr>
            <w:del w:id="213" w:author="Miroslav Líška" w:date="2017-09-26T12:13:40Z">
              <w:r>
                <w:rPr>
                  <w:rFonts w:cs="Arial" w:ascii="Arial" w:hAnsi="Arial"/>
                  <w:spacing w:val="-1"/>
                  <w:sz w:val="20"/>
                  <w:szCs w:val="22"/>
                  <w:lang w:val="sk-SK"/>
                </w:rPr>
                <w:delText>neobsahuje reťazec „www“,</w:delText>
              </w:r>
            </w:del>
          </w:p>
          <w:p>
            <w:pPr>
              <w:pStyle w:val="TextBody"/>
              <w:numPr>
                <w:ilvl w:val="6"/>
                <w:numId w:val="9"/>
              </w:numPr>
              <w:spacing w:before="0" w:after="60"/>
              <w:rPr>
                <w:rFonts w:ascii="Arial" w:hAnsi="Arial" w:cs="Arial"/>
                <w:spacing w:val="-1"/>
                <w:sz w:val="20"/>
                <w:szCs w:val="22"/>
                <w:lang w:val="sk-SK"/>
              </w:rPr>
            </w:pPr>
            <w:del w:id="214" w:author="Miroslav Líška" w:date="2017-09-26T12:13:40Z">
              <w:r>
                <w:rPr>
                  <w:rFonts w:cs="Arial" w:ascii="Arial" w:hAnsi="Arial"/>
                  <w:spacing w:val="-1"/>
                  <w:sz w:val="20"/>
                  <w:szCs w:val="22"/>
                  <w:lang w:val="sk-SK"/>
                </w:rPr>
                <w:delText>neobsahuje interpunkciu okrem znakov lomka, pomlčka a bodka, diakritiku a medzery, okrem identifikátora fyzickej osoby podľa osobitného predpisu, kde je možné použiť interpunkciu a diakritiku,</w:delText>
              </w:r>
            </w:del>
          </w:p>
          <w:p>
            <w:pPr>
              <w:pStyle w:val="TextBody"/>
              <w:numPr>
                <w:ilvl w:val="6"/>
                <w:numId w:val="9"/>
              </w:numPr>
              <w:spacing w:before="0" w:after="60"/>
              <w:rPr>
                <w:rFonts w:ascii="Arial" w:hAnsi="Arial" w:cs="Arial"/>
                <w:spacing w:val="-1"/>
                <w:sz w:val="20"/>
                <w:szCs w:val="22"/>
                <w:lang w:val="sk-SK"/>
              </w:rPr>
            </w:pPr>
            <w:del w:id="215" w:author="Miroslav Líška" w:date="2017-09-26T12:13:40Z">
              <w:r>
                <w:rPr>
                  <w:rFonts w:cs="Arial" w:ascii="Arial" w:hAnsi="Arial"/>
                  <w:spacing w:val="-1"/>
                  <w:sz w:val="20"/>
                  <w:szCs w:val="22"/>
                  <w:lang w:val="sk-SK"/>
                </w:rPr>
                <w:delText>obsahuje iba malé písmená,</w:delText>
              </w:r>
            </w:del>
          </w:p>
          <w:p>
            <w:pPr>
              <w:pStyle w:val="TextBody"/>
              <w:numPr>
                <w:ilvl w:val="6"/>
                <w:numId w:val="9"/>
              </w:numPr>
              <w:spacing w:before="0" w:after="60"/>
              <w:rPr>
                <w:rFonts w:ascii="Arial" w:hAnsi="Arial" w:cs="Arial"/>
                <w:spacing w:val="-1"/>
                <w:sz w:val="20"/>
                <w:szCs w:val="22"/>
                <w:lang w:val="sk-SK"/>
              </w:rPr>
            </w:pPr>
            <w:del w:id="216" w:author="Miroslav Líška" w:date="2017-09-26T12:13:40Z">
              <w:r>
                <w:rPr>
                  <w:rFonts w:cs="Arial" w:ascii="Arial" w:hAnsi="Arial"/>
                  <w:spacing w:val="-1"/>
                  <w:sz w:val="20"/>
                  <w:szCs w:val="22"/>
                  <w:lang w:val="sk-SK"/>
                </w:rPr>
                <w:delText>nahrádza špeciálne znaky, napríklad výkričník, úvodzovky, percento, hviezdička, zátvorka, dolár alebo mriežka, pomlčkami a podčiarkovníkmi,</w:delText>
              </w:r>
            </w:del>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06Normal"/>
              <w:spacing w:before="120" w:after="0"/>
              <w:jc w:val="left"/>
              <w:rPr/>
            </w:pPr>
            <w:r>
              <w:rPr/>
              <w:t>Transformácia</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Predstavuje sled transformačných predpisov reprezentujúcich celý proces spracovania otvorených dát. Predpisy umožňujú rozdelenie transformácie na spracovacie jednotky (data processing unit DPU) a ich reťazenie. Výsledkom sú spracované alebo obohatené otvorené dáta s príslušnými metadátami a prípadný záznam v katalógu.</w:t>
            </w:r>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URI - Jednotný identifikátor zdroja</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pPr>
            <w:ins w:id="217" w:author="Miroslav Líška" w:date="2017-09-26T12:15:26Z">
              <w:r>
                <w:rPr>
                  <w:rFonts w:cs="Arial" w:ascii="Arial" w:hAnsi="Arial"/>
                  <w:spacing w:val="-1"/>
                  <w:sz w:val="20"/>
                  <w:szCs w:val="22"/>
                  <w:lang w:val="sk-SK"/>
                </w:rPr>
                <w:t xml:space="preserve"> </w:t>
              </w:r>
            </w:ins>
            <w:ins w:id="218" w:author="Miroslav Líška" w:date="2017-09-26T12:15:26Z">
              <w:r>
                <w:rPr>
                  <w:rFonts w:cs="Arial" w:ascii="Arial" w:hAnsi="Arial"/>
                  <w:spacing w:val="-1"/>
                  <w:sz w:val="20"/>
                  <w:szCs w:val="22"/>
                  <w:lang w:val="sk-SK"/>
                </w:rPr>
                <w:t xml:space="preserve">Jednotný </w:t>
              </w:r>
            </w:ins>
            <w:ins w:id="219" w:author="Miroslav Líška" w:date="2017-09-26T12:15:26Z">
              <w:r>
                <w:rPr>
                  <w:rFonts w:cs="Arial" w:ascii="Arial" w:hAnsi="Arial"/>
                  <w:spacing w:val="-1"/>
                  <w:sz w:val="20"/>
                  <w:szCs w:val="22"/>
                  <w:lang w:val="sk-SK"/>
                </w:rPr>
                <w:t>identifikátor zdroja (Jednodný referencovateľný identifikátor)</w:t>
              </w:r>
            </w:ins>
            <w:ins w:id="220" w:author="Miroslav Líška" w:date="2017-09-26T12:15:26Z">
              <w:r>
                <w:rPr>
                  <w:rFonts w:cs="Arial" w:ascii="Arial" w:hAnsi="Arial"/>
                  <w:spacing w:val="-1"/>
                  <w:sz w:val="20"/>
                  <w:szCs w:val="22"/>
                  <w:lang w:val="sk-SK"/>
                </w:rPr>
                <w:t xml:space="preserve">je reťazec znakov používaných na identifikáciu entity v sémantickom webe v tvare http://... Na rozdiel od URL (Uniform Resource Locator) neslúži na navigáciu na stránku kvôli jej zobrazeniu, ale slúži na identifikáciu predmetnej entity. </w:t>
              </w:r>
            </w:ins>
            <w:del w:id="221" w:author="Miroslav Líška" w:date="2017-09-26T12:15:26Z">
              <w:r>
                <w:rPr>
                  <w:rFonts w:cs="Arial" w:ascii="Arial" w:hAnsi="Arial"/>
                  <w:spacing w:val="-1"/>
                  <w:sz w:val="20"/>
                  <w:szCs w:val="22"/>
                  <w:lang w:val="sk-SK"/>
                </w:rPr>
                <w:delText>Je kompaktný reťazec znakov používaný na identifikáciu alebo pomenovanie zdroja.</w:delText>
              </w:r>
            </w:del>
            <w:r>
              <w:rPr>
                <w:rFonts w:cs="Arial" w:ascii="Arial" w:hAnsi="Arial"/>
                <w:spacing w:val="-1"/>
                <w:sz w:val="20"/>
                <w:szCs w:val="22"/>
                <w:lang w:val="sk-SK"/>
              </w:rPr>
              <w:t xml:space="preserve"> </w:t>
            </w:r>
            <w:del w:id="222" w:author="Miroslav Líška" w:date="2017-09-26T12:14:57Z">
              <w:r>
                <w:rPr>
                  <w:rFonts w:cs="Arial" w:ascii="Arial" w:hAnsi="Arial"/>
                  <w:spacing w:val="-1"/>
                  <w:sz w:val="20"/>
                  <w:szCs w:val="22"/>
                  <w:lang w:val="sk-SK"/>
                </w:rPr>
                <w:delText>Hlavný účel tejto identifikácie je umožniť interakciu s prezentáciami zdroja cez sieť, typicky cez World Wide Web, použitím špecifických protokolov.</w:delText>
              </w:r>
            </w:del>
          </w:p>
          <w:p>
            <w:pPr>
              <w:pStyle w:val="08Bullet01"/>
              <w:numPr>
                <w:ilvl w:val="0"/>
                <w:numId w:val="2"/>
              </w:numPr>
              <w:jc w:val="left"/>
              <w:rPr/>
            </w:pPr>
            <w:del w:id="223" w:author="Miroslav Líška" w:date="2017-09-26T12:14:57Z">
              <w:r>
                <w:rPr/>
                <w:delText xml:space="preserve">Príklady absolútnej URI: </w:delText>
              </w:r>
            </w:del>
            <w:hyperlink r:id="rId17">
              <w:del w:id="224" w:author="Miroslav Líška" w:date="2017-09-26T12:14:57Z">
                <w:r>
                  <w:rPr>
                    <w:rStyle w:val="Internetovodkaz"/>
                  </w:rPr>
                  <w:delText>http://somehost/absolute/URI/with/absolute/path/to/resource.txt</w:delText>
                </w:r>
              </w:del>
            </w:hyperlink>
          </w:p>
          <w:p>
            <w:pPr>
              <w:pStyle w:val="08Bullet01"/>
              <w:numPr>
                <w:ilvl w:val="0"/>
                <w:numId w:val="2"/>
              </w:numPr>
              <w:rPr/>
            </w:pPr>
            <w:del w:id="225" w:author="Miroslav Líška" w:date="2017-09-26T12:14:57Z">
              <w:r>
                <w:rPr/>
                <w:delText>Príklady relatívnej URI:</w:delText>
              </w:r>
            </w:del>
          </w:p>
          <w:p>
            <w:pPr>
              <w:pStyle w:val="TextBody"/>
              <w:numPr>
                <w:ilvl w:val="0"/>
                <w:numId w:val="0"/>
              </w:numPr>
              <w:spacing w:before="0" w:after="120"/>
              <w:ind w:left="360" w:hanging="360"/>
              <w:rPr/>
            </w:pPr>
            <w:hyperlink r:id="rId18">
              <w:del w:id="226" w:author="Miroslav Líška" w:date="2017-09-26T12:14:57Z">
                <w:r>
                  <w:rPr>
                    <w:rStyle w:val="Internetovodkaz"/>
                  </w:rPr>
                  <w:delText>/relative/URI/with/absolute/path/to/resource.txt</w:delText>
                </w:r>
              </w:del>
            </w:hyperlink>
          </w:p>
        </w:tc>
      </w:tr>
      <w:tr>
        <w:trPr>
          <w:trHeight w:val="283" w:hRule="atLeast"/>
          <w:cantSplit w:val="true"/>
        </w:trPr>
        <w:tc>
          <w:tcPr>
            <w:tcW w:w="19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URL - Jednotná adresa zdroja</w:t>
            </w:r>
          </w:p>
        </w:tc>
        <w:tc>
          <w:tcPr>
            <w:tcW w:w="65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Je reťazec znakov s definovanou štruktúrou, ktorý slúži k presnej špecifikácii umiestnenia zdroja informácií (v zmysle dokument alebo služba) na Internete. Definuje doménovú adresu servera, umiestnenie zdroja na serveri a protokol, ktorým je možné k zdroju pristupovať:</w:t>
            </w:r>
          </w:p>
          <w:p>
            <w:pPr>
              <w:pStyle w:val="TextBody"/>
              <w:spacing w:before="0" w:after="0"/>
              <w:jc w:val="left"/>
              <w:rPr>
                <w:rFonts w:ascii="Arial" w:hAnsi="Arial" w:cs="Arial"/>
                <w:i/>
                <w:i/>
                <w:spacing w:val="-1"/>
                <w:sz w:val="20"/>
                <w:szCs w:val="22"/>
                <w:lang w:val="sk-SK"/>
              </w:rPr>
            </w:pPr>
            <w:r>
              <w:rPr>
                <w:rFonts w:cs="Arial" w:ascii="Arial" w:hAnsi="Arial"/>
                <w:i/>
                <w:spacing w:val="-1"/>
                <w:sz w:val="20"/>
                <w:szCs w:val="22"/>
                <w:lang w:val="sk-SK"/>
              </w:rPr>
              <w:t>protokol://server.doména_druhého_rádu.generická_doména:port/umiestnenie_na_serveri?formulárové_dáta#kotva</w:t>
            </w:r>
          </w:p>
          <w:p>
            <w:pPr>
              <w:pStyle w:val="TextBody"/>
              <w:spacing w:before="0" w:after="0"/>
              <w:jc w:val="left"/>
              <w:rPr>
                <w:rFonts w:ascii="Arial" w:hAnsi="Arial" w:cs="Arial"/>
                <w:spacing w:val="-1"/>
                <w:sz w:val="20"/>
                <w:szCs w:val="22"/>
                <w:lang w:val="sk-SK"/>
              </w:rPr>
            </w:pPr>
            <w:r>
              <w:rPr>
                <w:rFonts w:cs="Arial" w:ascii="Arial" w:hAnsi="Arial"/>
                <w:spacing w:val="-1"/>
                <w:sz w:val="20"/>
                <w:szCs w:val="22"/>
                <w:lang w:val="sk-SK"/>
              </w:rPr>
              <w:t>Napríklad:</w:t>
            </w:r>
          </w:p>
          <w:p>
            <w:pPr>
              <w:pStyle w:val="TextBody"/>
              <w:spacing w:before="0" w:after="0"/>
              <w:jc w:val="left"/>
              <w:rPr/>
            </w:pPr>
            <w:hyperlink r:id="rId19">
              <w:r>
                <w:rPr>
                  <w:rStyle w:val="Internetovodkaz"/>
                  <w:rFonts w:cs="Arial" w:ascii="Arial" w:hAnsi="Arial"/>
                  <w:spacing w:val="-1"/>
                  <w:sz w:val="20"/>
                  <w:szCs w:val="22"/>
                  <w:lang w:val="sk-SK"/>
                </w:rPr>
                <w:t>http://cs.wikipedia.org:80/w/wiki.phtml?title=URL&amp;action=edit</w:t>
              </w:r>
            </w:hyperlink>
          </w:p>
          <w:p>
            <w:pPr>
              <w:pStyle w:val="08Bullet01"/>
              <w:numPr>
                <w:ilvl w:val="0"/>
                <w:numId w:val="2"/>
              </w:numPr>
              <w:rPr/>
            </w:pPr>
            <w:r>
              <w:rPr/>
              <w:t>protokol: http – odpovedajúci protokolu rovnakého mena</w:t>
            </w:r>
          </w:p>
          <w:p>
            <w:pPr>
              <w:pStyle w:val="08Bullet01"/>
              <w:numPr>
                <w:ilvl w:val="0"/>
                <w:numId w:val="2"/>
              </w:numPr>
              <w:rPr/>
            </w:pPr>
            <w:r>
              <w:rPr/>
              <w:t>server (počítač): cs.</w:t>
            </w:r>
          </w:p>
          <w:p>
            <w:pPr>
              <w:pStyle w:val="08Bullet01"/>
              <w:numPr>
                <w:ilvl w:val="0"/>
                <w:numId w:val="2"/>
              </w:numPr>
              <w:rPr/>
            </w:pPr>
            <w:r>
              <w:rPr/>
              <w:t>doména druhého rádu: wikipedia.</w:t>
            </w:r>
          </w:p>
          <w:p>
            <w:pPr>
              <w:pStyle w:val="08Bullet01"/>
              <w:numPr>
                <w:ilvl w:val="0"/>
                <w:numId w:val="2"/>
              </w:numPr>
              <w:rPr/>
            </w:pPr>
            <w:r>
              <w:rPr/>
              <w:t>generická doména (najvyššieho rádu): org(.)</w:t>
            </w:r>
          </w:p>
          <w:p>
            <w:pPr>
              <w:pStyle w:val="08Bullet01"/>
              <w:numPr>
                <w:ilvl w:val="0"/>
                <w:numId w:val="2"/>
              </w:numPr>
              <w:rPr/>
            </w:pPr>
            <w:r>
              <w:rPr/>
              <w:t>port: 80 – keďže pre http je port 80 implicitný, nie je potrebné ho v tomto konkrétnom prípade uvádzať</w:t>
            </w:r>
          </w:p>
          <w:p>
            <w:pPr>
              <w:pStyle w:val="08Bullet01"/>
              <w:numPr>
                <w:ilvl w:val="0"/>
                <w:numId w:val="2"/>
              </w:numPr>
              <w:rPr/>
            </w:pPr>
            <w:r>
              <w:rPr/>
              <w:t>umiestnenie na serveri: /w/wiki.phtml</w:t>
            </w:r>
          </w:p>
          <w:p>
            <w:pPr>
              <w:pStyle w:val="08Bullet01"/>
              <w:numPr>
                <w:ilvl w:val="0"/>
                <w:numId w:val="2"/>
              </w:numPr>
              <w:spacing w:before="0" w:after="120"/>
              <w:rPr/>
            </w:pPr>
            <w:r>
              <w:rPr/>
              <w:t>parametre (formulárové dáta): pre formulárové metódy POST a GET, ak sú špecifikované, sú uvedené znakom otáznika. Tu je prvý parameter s menom „title“ a hodnotou „URL“, druhý s menom „action“ a hodnotou „edit“. Parameter a hodnota sa oddeľujú znakom „rovná sa“, dvojica parameter–hodnota sa oddeľujú ampersantom.</w:t>
            </w:r>
          </w:p>
        </w:tc>
      </w:tr>
    </w:tbl>
    <w:p>
      <w:pPr>
        <w:pStyle w:val="Normal"/>
        <w:rPr/>
      </w:pPr>
      <w:r>
        <w:rPr/>
      </w:r>
    </w:p>
    <w:p>
      <w:pPr>
        <w:pStyle w:val="Normal"/>
        <w:spacing w:before="0" w:after="60"/>
        <w:rPr/>
      </w:pPr>
      <w:r>
        <w:rPr/>
      </w:r>
    </w:p>
    <w:sectPr>
      <w:footerReference w:type="default" r:id="rId20"/>
      <w:footnotePr>
        <w:numFmt w:val="decimal"/>
      </w:footnotePr>
      <w:type w:val="nextPage"/>
      <w:pgSz w:w="11906" w:h="16838"/>
      <w:pgMar w:left="1134" w:right="1134" w:header="0" w:top="1134" w:footer="708" w:bottom="1134" w:gutter="0"/>
      <w:pgNumType w:fmt="decimal"/>
      <w:formProt w:val="false"/>
      <w:titlePg/>
      <w:textDirection w:val="lrTb"/>
      <w:docGrid w:type="default" w:linePitch="360" w:charSpace="184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Miroslav Líška" w:date="2017-09-25T21:13:19Z" w:initials="ML">
    <w:p>
      <w:r>
        <w:rPr>
          <w:rFonts w:cs="Times New Roman" w:ascii="Cambria" w:hAnsi="Cambria" w:eastAsia="MS Mincho"/>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bidi="ar-SA" w:val="sk-SK" w:eastAsia="ja-JP"/>
        </w:rPr>
        <w:t>1) Informácia na obrázku nie je správne, je to takpovediac „prekrútené“, predpokladám že v dobrejviere :) . 4* nie je „Referencovateľné identifikátory“, ale je to RDF – Use RDF to denote things – a to je použitie RDF (URI) na všetko. Nielen na konkrétne objekty, ale aj na dátové prvky, datasety, číselníky, kódy, služby, .. na všetko. Aby sa dalo toto referencovať. Nejde o „pridanie stĺpca URI“ do excelu a je vyriešené. To by muselo mať všetko v exceli URI. A štruktúra by sa zmenila na trojice. A na to je správny formát RDF (graf).</w:t>
      </w:r>
    </w:p>
    <w:p>
      <w:r>
        <w:rPr>
          <w:rFonts w:ascii="Liberation Serif" w:hAnsi="Liberation Serif" w:eastAsia="DejaVu Sans" w:cs="DejaVu Sans"/>
          <w:color w:val="auto"/>
          <w:sz w:val="24"/>
          <w:lang w:val="en-US" w:eastAsia="en-US" w:bidi="en-US"/>
        </w:rPr>
      </w:r>
    </w:p>
    <w:p>
      <w:r>
        <w:rPr>
          <w:rFonts w:cs="Times New Roman" w:ascii="Cambria" w:hAnsi="Cambria" w:eastAsia="MS Mincho"/>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bidi="ar-SA" w:val="sk-SK" w:eastAsia="ja-JP"/>
        </w:rPr>
        <w:t>2) Tu by som presne vložil originálny oprázok. A keď je to 5* open data, tak nech sa tam nehovorí o šiestich možných úrovniach.</w:t>
      </w:r>
    </w:p>
  </w:comment>
  <w:comment w:id="1" w:author="Miroslav Líška" w:date="2017-09-25T21:54:26Z" w:initials="ML">
    <w:p>
      <w:r>
        <w:rPr>
          <w:rFonts w:cs="Times New Roman" w:ascii="Cambria" w:hAnsi="Cambria" w:eastAsia="MS Mincho"/>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bidi="ar-SA" w:val="sk-SK" w:eastAsia="ja-JP"/>
        </w:rPr>
        <w:t xml:space="preserve">A.4.5.1 Úrovne interoperability otvorených údajov </w:t>
      </w:r>
    </w:p>
    <w:p>
      <w:r>
        <w:rPr>
          <w:rFonts w:ascii="Liberation Serif" w:hAnsi="Liberation Serif" w:eastAsia="DejaVu Sans" w:cs="DejaVu Sans"/>
          <w:color w:val="auto"/>
          <w:sz w:val="24"/>
          <w:lang w:val="en-US" w:eastAsia="en-US" w:bidi="en-US"/>
        </w:rPr>
      </w:r>
    </w:p>
    <w:p>
      <w:r>
        <w:rPr>
          <w:rFonts w:ascii="Liberation Serif" w:hAnsi="Liberation Serif" w:eastAsia="DejaVu Sans" w:cs="DejaVu Sans"/>
          <w:color w:val="auto"/>
          <w:sz w:val="24"/>
          <w:lang w:val="en-US" w:eastAsia="en-US" w:bidi="en-US"/>
        </w:rPr>
      </w:r>
    </w:p>
    <w:p>
      <w:r>
        <w:rPr>
          <w:rFonts w:ascii="Liberation Serif" w:hAnsi="Liberation Serif" w:eastAsia="DejaVu Sans" w:cs="DejaVu Sans"/>
          <w:color w:val="auto"/>
          <w:sz w:val="24"/>
          <w:lang w:val="en-US" w:eastAsia="en-US" w:bidi="en-US"/>
        </w:rPr>
      </w:r>
    </w:p>
    <w:p>
      <w:r>
        <w:rPr>
          <w:rFonts w:cs="Times New Roman" w:ascii="Cambria" w:hAnsi="Cambria" w:eastAsia="Arial Unicode MS"/>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bidi="ar-SA" w:val="sk-SK" w:eastAsia="ja-JP"/>
        </w:rPr>
        <w:t xml:space="preserve">Príklady úrovní interoperability </w:t>
      </w:r>
    </w:p>
    <w:p>
      <w:r>
        <w:rPr>
          <w:rFonts w:ascii="Liberation Serif" w:hAnsi="Liberation Serif" w:eastAsia="DejaVu Sans" w:cs="DejaVu Sans"/>
          <w:color w:val="auto"/>
          <w:sz w:val="24"/>
          <w:lang w:val="en-US" w:eastAsia="en-US" w:bidi="en-US"/>
        </w:rPr>
      </w:r>
    </w:p>
    <w:p>
      <w:r>
        <w:rPr>
          <w:rFonts w:ascii="Liberation Serif" w:hAnsi="Liberation Serif" w:eastAsia="DejaVu Sans" w:cs="DejaVu Sans"/>
          <w:color w:val="auto"/>
          <w:sz w:val="24"/>
          <w:lang w:val="en-US" w:eastAsia="en-US" w:bidi="en-US"/>
        </w:rPr>
      </w:r>
    </w:p>
    <w:p>
      <w:r>
        <w:rPr>
          <w:rFonts w:cs="Times New Roman" w:ascii="Cambria" w:hAnsi="Cambria" w:eastAsia="Arial Unicode MS"/>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bidi="ar-SA" w:val="sk-SK" w:eastAsia="ja-JP"/>
        </w:rPr>
        <w:t xml:space="preserve"> </w:t>
      </w:r>
    </w:p>
  </w:comment>
  <w:comment w:id="2" w:author="Miroslav Líška" w:date="2017-09-26T11:57:42Z" w:initials="ML">
    <w:p>
      <w:hyperlink r:id="rId1">
        <w:r>
          <w:rPr>
            <w:rFonts w:ascii="Cambria" w:hAnsi="Cambria" w:eastAsia="MS Mincho"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0"/>
            <w:u w:val="none"/>
            <w:vertAlign w:val="baseline"/>
            <w:em w:val="none"/>
            <w:lang w:val="sk-SK" w:eastAsia="ja-JP" w:bidi="ar-SA"/>
          </w:rPr>
        </w:r>
      </w:hyperlink>
      <w:r>
        <w:rPr>
          <w:rFonts w:ascii="Cambria" w:hAnsi="Cambria" w:eastAsia="MS Mincho"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0"/>
          <w:u w:val="none"/>
          <w:vertAlign w:val="baseline"/>
          <w:em w:val="none"/>
          <w:lang w:val="sk-SK" w:eastAsia="ja-JP" w:bidi="ar-SA"/>
        </w:rPr>
        <w:t xml:space="preserve"> </w:t>
      </w:r>
    </w:p>
  </w:comment>
  <w:comment w:id="3" w:author="Miroslav Líška" w:date="2017-09-26T11:53:40Z" w:initials="ML">
    <w:p>
      <w:r>
        <w:rPr>
          <w:rFonts w:eastAsia="MS Mincho" w:cs="Times New Roman" w:ascii="Cambria" w:hAnsi="Cambria"/>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0"/>
          <w:u w:val="none"/>
          <w:vertAlign w:val="baseline"/>
          <w:em w:val="none"/>
          <w:lang w:bidi="ar-SA" w:eastAsia="ja-JP" w:val="sk-SK"/>
        </w:rPr>
        <w:t>Definované už vyššie</w:t>
      </w:r>
    </w:p>
  </w:comment>
  <w:comment w:id="4" w:author="Miroslav Líška" w:date="2017-09-26T12:07:07Z" w:initials="ML">
    <w:p>
      <w:hyperlink r:id="rId2">
        <w:r>
          <w:rPr>
            <w:rFonts w:ascii="Cambria" w:hAnsi="Cambria" w:eastAsia="MS Mincho"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0"/>
            <w:u w:val="none"/>
            <w:vertAlign w:val="baseline"/>
            <w:em w:val="none"/>
            <w:lang w:val="sk-SK" w:eastAsia="ja-JP" w:bidi="ar-SA"/>
          </w:rPr>
        </w:r>
      </w:hyperlink>
      <w:r>
        <w:rPr>
          <w:rFonts w:ascii="Cambria" w:hAnsi="Cambria" w:eastAsia="MS Mincho"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0"/>
          <w:u w:val="none"/>
          <w:vertAlign w:val="baseline"/>
          <w:em w:val="none"/>
          <w:lang w:val="sk-SK" w:eastAsia="ja-JP" w:bidi="ar-SA"/>
        </w:rPr>
        <w:t xml:space="preserve"> </w:t>
      </w:r>
    </w:p>
  </w:comment>
  <w:comment w:id="5" w:author="Miroslav Líška" w:date="2017-09-26T12:13:45Z" w:initials="ML">
    <w:p>
      <w:r>
        <w:rPr>
          <w:rFonts w:eastAsia="MS Mincho" w:cs="Times New Roman" w:ascii="Cambria" w:hAnsi="Cambria"/>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0"/>
          <w:u w:val="none"/>
          <w:vertAlign w:val="baseline"/>
          <w:em w:val="none"/>
          <w:lang w:bidi="ar-SA" w:eastAsia="ja-JP" w:val="sk-SK"/>
        </w:rPr>
        <w:t>Referencovateľný identifikátor je to isté ako Jednotný referencovateľný identifikátor</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Arial">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Wingdings">
    <w:charset w:val="01"/>
    <w:family w:val="roman"/>
    <w:pitch w:val="variable"/>
  </w:font>
  <w:font w:name="Wingdings">
    <w:charset w:val="02"/>
    <w:family w:val="auto"/>
    <w:pitch w:val="default"/>
  </w:font>
  <w:font w:name="Arial">
    <w:charset w:val="01"/>
    <w:family w:val="auto"/>
    <w:pitch w:val="default"/>
  </w:font>
  <w:font w:name="Symbol">
    <w:charset w:val="02"/>
    <w:family w:val="auto"/>
    <w:pitch w:val="default"/>
  </w:font>
  <w:font w:name="Courier New">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60"/>
      <w:ind w:right="360" w:hanging="0"/>
      <w:rPr/>
    </w:pPr>
    <w:r>
      <w:rPr/>
      <mc:AlternateContent>
        <mc:Choice Requires="wps">
          <w:drawing>
            <wp:anchor behindDoc="1" distT="0" distB="0" distL="0" distR="0" simplePos="0" locked="0" layoutInCell="1" allowOverlap="1" relativeHeight="34">
              <wp:simplePos x="0" y="0"/>
              <wp:positionH relativeFrom="margin">
                <wp:align>right</wp:align>
              </wp:positionH>
              <wp:positionV relativeFrom="paragraph">
                <wp:posOffset>635</wp:posOffset>
              </wp:positionV>
              <wp:extent cx="142240" cy="145415"/>
              <wp:effectExtent l="0" t="0" r="0" b="0"/>
              <wp:wrapSquare wrapText="largest"/>
              <wp:docPr id="14" name="Rámec1"/>
              <a:graphic xmlns:a="http://schemas.openxmlformats.org/drawingml/2006/main">
                <a:graphicData uri="http://schemas.microsoft.com/office/word/2010/wordprocessingShape">
                  <wps:wsp>
                    <wps:cNvSpPr/>
                    <wps:spPr>
                      <a:xfrm>
                        <a:off x="0" y="0"/>
                        <a:ext cx="141480" cy="144720"/>
                      </a:xfrm>
                      <a:prstGeom prst="rect">
                        <a:avLst/>
                      </a:prstGeom>
                      <a:noFill/>
                      <a:ln>
                        <a:noFill/>
                      </a:ln>
                    </wps:spPr>
                    <wps:style>
                      <a:lnRef idx="0"/>
                      <a:fillRef idx="0"/>
                      <a:effectRef idx="0"/>
                      <a:fontRef idx="minor"/>
                    </wps:style>
                    <wps:txbx>
                      <w:txbxContent>
                        <w:p>
                          <w:pPr>
                            <w:pStyle w:val="Footer"/>
                            <w:spacing w:before="0" w:after="60"/>
                            <w:rPr>
                              <w:color w:val="auto"/>
                            </w:rPr>
                          </w:pPr>
                          <w:r>
                            <w:rPr>
                              <w:color w:val="auto"/>
                            </w:rPr>
                            <w:fldChar w:fldCharType="begin"/>
                          </w:r>
                          <w:r>
                            <w:instrText> PAGE </w:instrText>
                          </w:r>
                          <w:r>
                            <w:fldChar w:fldCharType="separate"/>
                          </w:r>
                          <w:r>
                            <w:t>13</w:t>
                          </w:r>
                          <w:r>
                            <w:fldChar w:fldCharType="end"/>
                          </w:r>
                        </w:p>
                      </w:txbxContent>
                    </wps:txbx>
                    <wps:bodyPr lIns="0" rIns="0" tIns="0" bIns="0">
                      <a:spAutoFit/>
                    </wps:bodyPr>
                  </wps:wsp>
                </a:graphicData>
              </a:graphic>
            </wp:anchor>
          </w:drawing>
        </mc:Choice>
        <mc:Fallback>
          <w:pict>
            <v:rect id="shape_0" ID="Rámec1" fillcolor="white" stroked="f" style="position:absolute;margin-left:470.7pt;margin-top:0.05pt;width:11.1pt;height:11.35pt;mso-position-horizontal:right;mso-position-horizontal-relative:margin">
              <w10:wrap type="square"/>
              <v:fill o:detectmouseclick="t" type="solid" color2="black" opacity="0"/>
              <v:stroke color="#3465a4" joinstyle="round" endcap="flat"/>
              <v:textbox>
                <w:txbxContent>
                  <w:p>
                    <w:pPr>
                      <w:pStyle w:val="Footer"/>
                      <w:spacing w:before="0" w:after="60"/>
                      <w:rPr>
                        <w:color w:val="auto"/>
                      </w:rPr>
                    </w:pPr>
                    <w:r>
                      <w:rPr>
                        <w:color w:val="auto"/>
                      </w:rPr>
                      <w:fldChar w:fldCharType="begin"/>
                    </w:r>
                    <w:r>
                      <w:instrText> PAGE </w:instrText>
                    </w:r>
                    <w:r>
                      <w:fldChar w:fldCharType="separate"/>
                    </w:r>
                    <w:r>
                      <w:t>13</w:t>
                    </w:r>
                    <w:r>
                      <w:fldChar w:fldCharType="end"/>
                    </w:r>
                  </w:p>
                </w:txbxContent>
              </v:textbox>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Footnotetext"/>
        <w:spacing w:before="120" w:after="0"/>
        <w:rPr/>
      </w:pPr>
      <w:r>
        <w:rPr>
          <w:rStyle w:val="Footnotereference"/>
        </w:rPr>
        <w:footnoteRef/>
        <w:tab/>
      </w:r>
      <w:r>
        <w:rPr>
          <w:rStyle w:val="Footnotereference"/>
        </w:rPr>
        <w:tab/>
      </w:r>
      <w:r>
        <w:rPr>
          <w:lang w:val="pl-PL"/>
        </w:rPr>
        <w:t xml:space="preserve"> Zdroj: Príloha C k projektu COMSODE</w:t>
      </w:r>
    </w:p>
  </w:footnote>
  <w:footnote w:id="3">
    <w:p>
      <w:pPr>
        <w:pStyle w:val="Footnotetext"/>
        <w:spacing w:before="120" w:after="0"/>
        <w:rPr/>
      </w:pPr>
      <w:r>
        <w:rPr>
          <w:rStyle w:val="Footnotereference"/>
          <w:lang w:val="sk-SK"/>
        </w:rPr>
        <w:footnoteRef/>
        <w:tab/>
      </w:r>
      <w:r>
        <w:rPr>
          <w:rStyle w:val="Footnotereference"/>
          <w:lang w:val="sk-SK"/>
        </w:rPr>
        <w:tab/>
      </w:r>
      <w:r>
        <w:rPr>
          <w:lang w:val="sk-SK"/>
        </w:rPr>
        <w:t xml:space="preserve"> </w:t>
      </w:r>
      <w:r>
        <w:rPr>
          <w:rFonts w:eastAsia="Arial Unicode MS"/>
          <w:lang w:val="sk-SK"/>
        </w:rPr>
        <w:t>Logica Business Consulting (2012)</w:t>
      </w:r>
    </w:p>
  </w:footnote>
  <w:footnote w:id="4">
    <w:p>
      <w:pPr>
        <w:pStyle w:val="Footnotetext"/>
        <w:spacing w:before="120" w:after="0"/>
        <w:rPr/>
      </w:pPr>
      <w:r>
        <w:rPr>
          <w:rStyle w:val="Footnotereference"/>
        </w:rPr>
        <w:footnoteRef/>
        <w:tab/>
      </w:r>
      <w:r>
        <w:rPr>
          <w:rStyle w:val="Footnotereference"/>
        </w:rPr>
        <w:tab/>
      </w:r>
      <w:r>
        <w:rPr/>
        <w:t xml:space="preserve"> </w:t>
      </w:r>
      <w:hyperlink r:id="rId1">
        <w:r>
          <w:rPr>
            <w:rStyle w:val="Internetovodkaz"/>
            <w:sz w:val="20"/>
          </w:rPr>
          <w:t>https://index.okfn.org</w:t>
        </w:r>
      </w:hyperlink>
    </w:p>
  </w:footnote>
  <w:footnote w:id="5">
    <w:p>
      <w:pPr>
        <w:pStyle w:val="Footnotetext"/>
        <w:spacing w:before="120" w:after="0"/>
        <w:rPr/>
      </w:pPr>
      <w:r>
        <w:rPr>
          <w:rStyle w:val="Footnotereference"/>
          <w:b w:val="false"/>
          <w:bCs w:val="false"/>
          <w:rPrChange w:id="0" w:author="Miroslav Líška" w:date="2017-09-25T21:05:00Z"/>
        </w:rPr>
        <w:footnoteRef/>
        <w:tab/>
      </w:r>
      <w:r>
        <w:rPr>
          <w:rStyle w:val="Footnotereference"/>
          <w:b w:val="false"/>
          <w:bCs w:val="false"/>
          <w:rPrChange w:id="0" w:author="Miroslav Líška" w:date="2017-09-25T21:05:00Z"/>
        </w:rPr>
        <w:tab/>
      </w:r>
      <w:r>
        <w:rPr>
          <w:b w:val="false"/>
          <w:bCs w:val="false"/>
          <w:rPrChange w:id="0" w:author="Miroslav Líška" w:date="2017-09-25T21:05:00Z"/>
        </w:rPr>
        <w:t xml:space="preserve"> </w:t>
      </w:r>
      <w:hyperlink r:id="rId2">
        <w:r>
          <w:rPr>
            <w:rStyle w:val="Internetovodkaz"/>
            <w:b w:val="false"/>
            <w:bCs w:val="false"/>
            <w:sz w:val="20"/>
            <w:rPrChange w:id="0" w:author="Miroslav Líška" w:date="2017-09-25T21:05:00Z"/>
          </w:rPr>
          <w:t>http://www.opendataresearch.org/project/2013/odb</w:t>
        </w:r>
      </w:hyperlink>
    </w:p>
    <w:p>
      <w:pPr>
        <w:pStyle w:val="Footnotetext"/>
        <w:rPr/>
      </w:pPr>
      <w:ins w:id="231" w:author="Miroslav Líška" w:date="2017-09-25T21:05:00Z">
        <w:r>
          <w:rPr>
            <w:sz w:val="20"/>
          </w:rPr>
          <w:tab/>
          <w:t>5</w:t>
          <w:tab/>
          <w:t xml:space="preserve"> http://5stardata.info/en/</w:t>
        </w:r>
      </w:ins>
    </w:p>
  </w:footnote>
  <w:footnote w:id="6">
    <w:p>
      <w:pPr>
        <w:pStyle w:val="Footnotetext"/>
        <w:spacing w:before="120" w:after="0"/>
        <w:rPr/>
      </w:pPr>
      <w:r>
        <w:rPr>
          <w:rStyle w:val="Footnotereference"/>
        </w:rPr>
        <w:footnoteRef/>
        <w:tab/>
      </w:r>
      <w:r>
        <w:rPr>
          <w:rStyle w:val="Footnotereference"/>
        </w:rPr>
        <w:tab/>
      </w:r>
      <w:r>
        <w:rPr/>
        <w:t xml:space="preserve"> </w:t>
      </w:r>
      <w:hyperlink r:id="rId3">
        <w:r>
          <w:rPr>
            <w:rStyle w:val="Internetovodkaz"/>
          </w:rPr>
          <w:t>http://www.w3.org/TR/rdfa-primer/</w:t>
        </w:r>
      </w:hyperlink>
    </w:p>
  </w:footnote>
  <w:footnote w:id="7">
    <w:p>
      <w:pPr>
        <w:pStyle w:val="Footnotetext"/>
        <w:spacing w:before="120" w:after="0"/>
        <w:rPr/>
      </w:pPr>
      <w:r>
        <w:rPr>
          <w:rStyle w:val="Footnotereference"/>
        </w:rPr>
        <w:footnoteRef/>
        <w:tab/>
      </w:r>
      <w:r>
        <w:rPr>
          <w:rStyle w:val="Footnotereference"/>
        </w:rPr>
        <w:tab/>
      </w:r>
      <w:r>
        <w:rPr/>
        <w:t xml:space="preserve"> </w:t>
      </w:r>
      <w:hyperlink r:id="rId4">
        <w:r>
          <w:rPr>
            <w:rStyle w:val="Internetovodkaz"/>
          </w:rPr>
          <w:t>http://www.w3.org/TR/json-ld/</w:t>
        </w:r>
      </w:hyperlink>
    </w:p>
  </w:footnote>
  <w:footnote w:id="8">
    <w:p>
      <w:pPr>
        <w:pStyle w:val="Footnotetext"/>
        <w:spacing w:before="120" w:after="0"/>
        <w:rPr/>
      </w:pPr>
      <w:r>
        <w:rPr>
          <w:rStyle w:val="Footnotereference"/>
        </w:rPr>
        <w:footnoteRef/>
        <w:tab/>
      </w:r>
      <w:r>
        <w:rPr>
          <w:rStyle w:val="Footnotereference"/>
        </w:rPr>
        <w:tab/>
      </w:r>
      <w:r>
        <w:rPr/>
        <w:t xml:space="preserve"> </w:t>
      </w:r>
      <w:hyperlink r:id="rId5">
        <w:r>
          <w:rPr>
            <w:rStyle w:val="Internetovodkaz"/>
          </w:rPr>
          <w:t>http://www.w3.org/TR/turtle/</w:t>
        </w:r>
      </w:hyperlink>
    </w:p>
  </w:footnote>
  <w:footnote w:id="9">
    <w:p>
      <w:pPr>
        <w:pStyle w:val="Footnotetext"/>
        <w:spacing w:before="120" w:after="0"/>
        <w:rPr/>
      </w:pPr>
      <w:r>
        <w:rPr>
          <w:rStyle w:val="Footnotereference"/>
        </w:rPr>
        <w:footnoteRef/>
        <w:tab/>
      </w:r>
      <w:r>
        <w:rPr>
          <w:rStyle w:val="Footnotereference"/>
        </w:rPr>
        <w:tab/>
      </w:r>
      <w:r>
        <w:rPr>
          <w:lang w:val="pl-PL"/>
        </w:rPr>
        <w:t xml:space="preserve"> Zdroj: Príloha C k projektu COMSODE</w:t>
      </w:r>
    </w:p>
  </w:footnote>
  <w:footnote w:id="10">
    <w:p>
      <w:pPr>
        <w:pStyle w:val="Footnotetext"/>
        <w:spacing w:before="120" w:after="0"/>
        <w:rPr/>
      </w:pPr>
      <w:r>
        <w:rPr>
          <w:rStyle w:val="Footnotereference"/>
        </w:rPr>
        <w:footnoteRef/>
        <w:tab/>
      </w:r>
      <w:r>
        <w:rPr>
          <w:rStyle w:val="Footnotereference"/>
        </w:rPr>
        <w:tab/>
      </w:r>
      <w:r>
        <w:rPr>
          <w:lang w:val="sk-SK"/>
        </w:rPr>
        <w:t xml:space="preserve"> Priroritizačné kritéria môžu byť upravené podľa potrieb a špecifík jednotlivých povinných osôb</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ind w:left="641" w:hanging="357"/>
      </w:pPr>
      <w:rPr>
        <w:rFonts w:cs="Times New Roman"/>
      </w:rPr>
    </w:lvl>
    <w:lvl w:ilvl="1">
      <w:start w:val="1"/>
      <w:pStyle w:val="Heading2"/>
      <w:numFmt w:val="decimal"/>
      <w:lvlText w:val="%1.%2"/>
      <w:lvlJc w:val="left"/>
      <w:pPr>
        <w:ind w:left="357" w:hanging="357"/>
      </w:pPr>
      <w:rPr>
        <w:rFonts w:cs="Times New Roman"/>
      </w:rPr>
    </w:lvl>
    <w:lvl w:ilvl="2">
      <w:start w:val="1"/>
      <w:pStyle w:val="Heading3"/>
      <w:numFmt w:val="decimal"/>
      <w:lvlText w:val="%1.%2.%3"/>
      <w:lvlJc w:val="left"/>
      <w:pPr>
        <w:ind w:left="357" w:hanging="357"/>
      </w:pPr>
      <w:rPr>
        <w:rFonts w:cs="Times New Roman"/>
      </w:rPr>
    </w:lvl>
    <w:lvl w:ilvl="3">
      <w:start w:val="1"/>
      <w:pStyle w:val="Heading4"/>
      <w:numFmt w:val="decimal"/>
      <w:lvlText w:val="%1.%2.%3.%4"/>
      <w:lvlJc w:val="left"/>
      <w:pPr>
        <w:ind w:left="357" w:hanging="357"/>
      </w:pPr>
      <w:rPr>
        <w:smallCaps w:val="false"/>
        <w:caps w:val="false"/>
        <w:dstrike w:val="false"/>
        <w:strike w:val="false"/>
        <w:vertAlign w:val="baseline"/>
        <w:position w:val="0"/>
        <w:sz w:val="20"/>
        <w:sz w:val="20"/>
        <w:spacing w:val="0"/>
        <w:i w:val="false"/>
        <w:u w:val="none"/>
        <w:b w:val="false"/>
        <w:effect w:val="none"/>
        <w:iCs w:val="false"/>
        <w:bCs w:val="false"/>
        <w:vanish w:val="false"/>
        <w:rFonts w:cs="Times New Roman"/>
        <w:color w:val="000000"/>
      </w:rPr>
    </w:lvl>
    <w:lvl w:ilvl="4">
      <w:start w:val="1"/>
      <w:pStyle w:val="Heading5"/>
      <w:numFmt w:val="decimal"/>
      <w:lvlText w:val="%1.%2.%3.%4.%5"/>
      <w:lvlJc w:val="left"/>
      <w:pPr>
        <w:ind w:left="357" w:hanging="357"/>
      </w:pPr>
      <w:rPr>
        <w:smallCaps w:val="false"/>
        <w:caps w:val="false"/>
        <w:dstrike w:val="false"/>
        <w:strike w:val="false"/>
        <w:vertAlign w:val="baseline"/>
        <w:position w:val="0"/>
        <w:sz w:val="20"/>
        <w:sz w:val="20"/>
        <w:spacing w:val="0"/>
        <w:i w:val="false"/>
        <w:u w:val="none"/>
        <w:b w:val="false"/>
        <w:effect w:val="none"/>
        <w:iCs w:val="false"/>
        <w:bCs w:val="false"/>
        <w:vanish w:val="false"/>
        <w:rFonts w:cs="Times New Roman"/>
        <w:color w:val="000000"/>
      </w:r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360" w:hanging="360"/>
      </w:pPr>
      <w:rPr>
        <w:rFonts w:ascii="Wingdings" w:hAnsi="Wingdings" w:cs="Wingdings" w:hint="default"/>
        <w:b/>
        <w:rFonts w:cs="Wingdings"/>
        <w:color w:val="1F497D"/>
      </w:rPr>
    </w:lvl>
    <w:lvl w:ilvl="1">
      <w:start w:val="1"/>
      <w:numFmt w:val="bullet"/>
      <w:lvlText w:val="–"/>
      <w:lvlJc w:val="left"/>
      <w:pPr>
        <w:ind w:left="1440" w:hanging="360"/>
      </w:pPr>
      <w:rPr>
        <w:rFonts w:ascii="Arial" w:hAnsi="Arial" w:cs="Arial" w:hint="default"/>
        <w:sz w:val="18"/>
        <w:rFonts w:cs="Arial"/>
        <w:color w:val="17365D"/>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1800" w:hanging="360"/>
      </w:pPr>
      <w:rPr>
        <w:rFonts w:ascii="Arial" w:hAnsi="Arial" w:cs="Arial" w:hint="default"/>
        <w:rFonts w:cs="Arial"/>
      </w:rPr>
    </w:lvl>
    <w:lvl w:ilvl="1">
      <w:start w:val="1"/>
      <w:numFmt w:val="bullet"/>
      <w:lvlText w:val="o"/>
      <w:lvlJc w:val="left"/>
      <w:pPr>
        <w:ind w:left="2520" w:hanging="360"/>
      </w:pPr>
      <w:rPr>
        <w:rFonts w:ascii="Courier New" w:hAnsi="Courier New" w:cs="Courier New" w:hint="default"/>
        <w:rFonts w:cs="Courier New"/>
      </w:rPr>
    </w:lvl>
    <w:lvl w:ilvl="2">
      <w:start w:val="1"/>
      <w:numFmt w:val="bullet"/>
      <w:lvlText w:val=""/>
      <w:lvlJc w:val="left"/>
      <w:pPr>
        <w:ind w:left="3240" w:hanging="360"/>
      </w:pPr>
      <w:rPr>
        <w:rFonts w:ascii="Wingdings" w:hAnsi="Wingdings" w:cs="Wingdings" w:hint="default"/>
        <w:rFonts w:cs="Wingdings"/>
      </w:rPr>
    </w:lvl>
    <w:lvl w:ilvl="3">
      <w:start w:val="1"/>
      <w:numFmt w:val="bullet"/>
      <w:lvlText w:val=""/>
      <w:lvlJc w:val="left"/>
      <w:pPr>
        <w:ind w:left="3960" w:hanging="360"/>
      </w:pPr>
      <w:rPr>
        <w:rFonts w:ascii="Symbol" w:hAnsi="Symbol" w:cs="Symbol" w:hint="default"/>
        <w:rFonts w:cs="Symbol"/>
      </w:rPr>
    </w:lvl>
    <w:lvl w:ilvl="4">
      <w:start w:val="1"/>
      <w:numFmt w:val="bullet"/>
      <w:lvlText w:val="o"/>
      <w:lvlJc w:val="left"/>
      <w:pPr>
        <w:ind w:left="4680" w:hanging="360"/>
      </w:pPr>
      <w:rPr>
        <w:rFonts w:ascii="Courier New" w:hAnsi="Courier New" w:cs="Courier New" w:hint="default"/>
        <w:rFonts w:cs="Courier New"/>
      </w:rPr>
    </w:lvl>
    <w:lvl w:ilvl="5">
      <w:start w:val="1"/>
      <w:numFmt w:val="bullet"/>
      <w:lvlText w:val=""/>
      <w:lvlJc w:val="left"/>
      <w:pPr>
        <w:ind w:left="5400" w:hanging="360"/>
      </w:pPr>
      <w:rPr>
        <w:rFonts w:ascii="Wingdings" w:hAnsi="Wingdings" w:cs="Wingdings" w:hint="default"/>
        <w:rFonts w:cs="Wingdings"/>
      </w:rPr>
    </w:lvl>
    <w:lvl w:ilvl="6">
      <w:start w:val="1"/>
      <w:numFmt w:val="bullet"/>
      <w:lvlText w:val=""/>
      <w:lvlJc w:val="left"/>
      <w:pPr>
        <w:ind w:left="6120" w:hanging="360"/>
      </w:pPr>
      <w:rPr>
        <w:rFonts w:ascii="Symbol" w:hAnsi="Symbol" w:cs="Symbol" w:hint="default"/>
        <w:rFonts w:cs="Symbol"/>
      </w:rPr>
    </w:lvl>
    <w:lvl w:ilvl="7">
      <w:start w:val="1"/>
      <w:numFmt w:val="bullet"/>
      <w:lvlText w:val="o"/>
      <w:lvlJc w:val="left"/>
      <w:pPr>
        <w:ind w:left="6840" w:hanging="360"/>
      </w:pPr>
      <w:rPr>
        <w:rFonts w:ascii="Courier New" w:hAnsi="Courier New" w:cs="Courier New" w:hint="default"/>
        <w:rFonts w:cs="Courier New"/>
      </w:rPr>
    </w:lvl>
    <w:lvl w:ilvl="8">
      <w:start w:val="1"/>
      <w:numFmt w:val="bullet"/>
      <w:lvlText w:val=""/>
      <w:lvlJc w:val="left"/>
      <w:pPr>
        <w:ind w:left="7560" w:hanging="360"/>
      </w:pPr>
      <w:rPr>
        <w:rFonts w:ascii="Wingdings" w:hAnsi="Wingdings" w:cs="Wingdings" w:hint="default"/>
        <w:rFonts w:cs="Wingdings"/>
      </w:rPr>
    </w:lvl>
  </w:abstractNum>
  <w:abstractNum w:abstractNumId="4">
    <w:lvl w:ilvl="0">
      <w:start w:val="1"/>
      <w:numFmt w:val="decimal"/>
      <w:lvlText w:val="%1."/>
      <w:lvlJc w:val="left"/>
      <w:pPr>
        <w:ind w:left="360" w:hanging="360"/>
      </w:pPr>
      <w:rPr>
        <w:rFonts w:cs="Times New Roman"/>
        <w:color w:val="1F497D"/>
      </w:rPr>
    </w:lvl>
    <w:lvl w:ilvl="1">
      <w:start w:val="1"/>
      <w:numFmt w:val="bullet"/>
      <w:lvlText w:val="–"/>
      <w:lvlJc w:val="left"/>
      <w:pPr>
        <w:ind w:left="1440" w:hanging="360"/>
      </w:pPr>
      <w:rPr>
        <w:rFonts w:ascii="Arial" w:hAnsi="Arial" w:cs="Arial" w:hint="default"/>
        <w:sz w:val="18"/>
        <w:rFonts w:cs="Arial"/>
        <w:color w:val="17365D"/>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decimal"/>
      <w:lvlText w:val="%1."/>
      <w:lvlJc w:val="left"/>
      <w:pPr>
        <w:ind w:left="360" w:hanging="360"/>
      </w:pPr>
      <w:rPr>
        <w:rFonts w:cs="Times New Roman"/>
        <w:color w:val="1F497D"/>
      </w:rPr>
    </w:lvl>
    <w:lvl w:ilvl="1">
      <w:start w:val="1"/>
      <w:numFmt w:val="bullet"/>
      <w:lvlText w:val="–"/>
      <w:lvlJc w:val="left"/>
      <w:pPr>
        <w:ind w:left="1440" w:hanging="360"/>
      </w:pPr>
      <w:rPr>
        <w:rFonts w:ascii="Arial" w:hAnsi="Arial" w:cs="Arial" w:hint="default"/>
        <w:sz w:val="18"/>
        <w:rFonts w:cs="Arial"/>
        <w:color w:val="17365D"/>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lvl w:ilvl="0">
      <w:start w:val="1"/>
      <w:numFmt w:val="decimal"/>
      <w:lvlText w:val="%1"/>
      <w:lvlJc w:val="left"/>
      <w:pPr>
        <w:ind w:left="641" w:hanging="357"/>
      </w:pPr>
      <w:rPr>
        <w:rFonts w:cs="Times New Roman"/>
      </w:rPr>
    </w:lvl>
    <w:lvl w:ilvl="1">
      <w:start w:val="1"/>
      <w:numFmt w:val="decimal"/>
      <w:lvlText w:val="%1.%2"/>
      <w:lvlJc w:val="left"/>
      <w:pPr>
        <w:ind w:left="357" w:hanging="357"/>
      </w:pPr>
      <w:rPr>
        <w:rFonts w:cs="Times New Roman"/>
      </w:rPr>
    </w:lvl>
    <w:lvl w:ilvl="2">
      <w:start w:val="1"/>
      <w:numFmt w:val="decimal"/>
      <w:lvlText w:val="%1.%2.%3"/>
      <w:lvlJc w:val="left"/>
      <w:pPr>
        <w:ind w:left="357" w:hanging="357"/>
      </w:pPr>
      <w:rPr>
        <w:rFonts w:cs="Times New Roman"/>
      </w:rPr>
    </w:lvl>
    <w:lvl w:ilvl="3">
      <w:start w:val="1"/>
      <w:numFmt w:val="decimal"/>
      <w:lvlText w:val="%1.%2.%3.%4"/>
      <w:lvlJc w:val="left"/>
      <w:pPr>
        <w:ind w:left="357" w:hanging="357"/>
      </w:pPr>
      <w:rPr>
        <w:smallCaps w:val="false"/>
        <w:caps w:val="false"/>
        <w:dstrike w:val="false"/>
        <w:strike w:val="false"/>
        <w:vertAlign w:val="baseline"/>
        <w:position w:val="0"/>
        <w:sz w:val="20"/>
        <w:sz w:val="20"/>
        <w:spacing w:val="0"/>
        <w:i w:val="false"/>
        <w:u w:val="none"/>
        <w:b w:val="false"/>
        <w:effect w:val="none"/>
        <w:iCs w:val="false"/>
        <w:bCs w:val="false"/>
        <w:vanish w:val="false"/>
        <w:rFonts w:cs="Times New Roman"/>
        <w:color w:val="000000"/>
      </w:rPr>
    </w:lvl>
    <w:lvl w:ilvl="4">
      <w:start w:val="1"/>
      <w:numFmt w:val="decimal"/>
      <w:lvlText w:val="%1.%2.%3.%4.%5"/>
      <w:lvlJc w:val="left"/>
      <w:pPr>
        <w:ind w:left="357" w:hanging="357"/>
      </w:pPr>
      <w:rPr>
        <w:smallCaps w:val="false"/>
        <w:caps w:val="false"/>
        <w:dstrike w:val="false"/>
        <w:strike w:val="false"/>
        <w:vertAlign w:val="baseline"/>
        <w:position w:val="0"/>
        <w:sz w:val="20"/>
        <w:sz w:val="20"/>
        <w:spacing w:val="0"/>
        <w:i w:val="false"/>
        <w:u w:val="none"/>
        <w:b w:val="false"/>
        <w:effect w:val="none"/>
        <w:iCs w:val="false"/>
        <w:bCs w:val="false"/>
        <w:vanish w:val="false"/>
        <w:rFonts w:cs="Times New Roman"/>
        <w:color w:val="000000"/>
      </w:rPr>
    </w:lvl>
    <w:lvl w:ilvl="5">
      <w:start w:val="1"/>
      <w:numFmt w:val="lowerRoman"/>
      <w:lvlText w:val="(%6)"/>
      <w:lvlJc w:val="left"/>
      <w:pPr>
        <w:ind w:left="357" w:hanging="357"/>
      </w:pPr>
      <w:rPr>
        <w:rFonts w:cs="Times New Roman"/>
      </w:rPr>
    </w:lvl>
    <w:lvl w:ilvl="6">
      <w:start w:val="1"/>
      <w:numFmt w:val="decimal"/>
      <w:lvlText w:val="%7."/>
      <w:lvlJc w:val="left"/>
      <w:pPr>
        <w:ind w:left="357" w:hanging="357"/>
      </w:pPr>
      <w:rPr>
        <w:sz w:val="20"/>
        <w:rFonts w:ascii="Arial" w:hAnsi="Arial" w:cs="Times New Roman"/>
      </w:rPr>
    </w:lvl>
    <w:lvl w:ilvl="7">
      <w:start w:val="1"/>
      <w:numFmt w:val="lowerLetter"/>
      <w:lvlText w:val="%8."/>
      <w:lvlJc w:val="left"/>
      <w:pPr>
        <w:ind w:left="357" w:hanging="357"/>
      </w:pPr>
      <w:rPr>
        <w:rFonts w:cs="Times New Roman"/>
      </w:rPr>
    </w:lvl>
    <w:lvl w:ilvl="8">
      <w:start w:val="1"/>
      <w:numFmt w:val="lowerRoman"/>
      <w:lvlText w:val="%9."/>
      <w:lvlJc w:val="left"/>
      <w:pPr>
        <w:ind w:left="357" w:hanging="357"/>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20"/>
  <w:trackRevisions/>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sk-SK"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cho" w:cs="Times New Roman"/>
        <w:lang w:val="sk-SK" w:eastAsia="ja-JP" w:bidi="ar-SA"/>
      </w:rPr>
    </w:rPrDefault>
    <w:pPrDefault>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semiHidden="1" w:unhideWhenUsed="1"/>
    <w:lsdException w:name="Grid Table 3"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f0a4f"/>
    <w:pPr>
      <w:widowControl/>
      <w:bidi w:val="0"/>
      <w:spacing w:before="0" w:after="60"/>
      <w:jc w:val="left"/>
    </w:pPr>
    <w:rPr>
      <w:rFonts w:ascii="Arial" w:hAnsi="Arial" w:eastAsia="MS Mincho" w:cs="Times New Roman"/>
      <w:color w:val="00000A"/>
      <w:kern w:val="0"/>
      <w:sz w:val="20"/>
      <w:szCs w:val="24"/>
      <w:lang w:val="sk-SK" w:eastAsia="en-US" w:bidi="ar-SA"/>
    </w:rPr>
  </w:style>
  <w:style w:type="paragraph" w:styleId="Heading1">
    <w:name w:val="Heading 1"/>
    <w:basedOn w:val="Normal"/>
    <w:link w:val="Nadpis1Char"/>
    <w:uiPriority w:val="99"/>
    <w:qFormat/>
    <w:rsid w:val="005d6aa0"/>
    <w:pPr>
      <w:keepNext/>
      <w:numPr>
        <w:ilvl w:val="0"/>
        <w:numId w:val="1"/>
      </w:numPr>
      <w:spacing w:before="240" w:after="60"/>
      <w:outlineLvl w:val="0"/>
    </w:pPr>
    <w:rPr>
      <w:rFonts w:eastAsia="MS Gothic"/>
      <w:b/>
      <w:bCs/>
      <w:sz w:val="32"/>
      <w:szCs w:val="32"/>
    </w:rPr>
  </w:style>
  <w:style w:type="paragraph" w:styleId="Heading2">
    <w:name w:val="Heading 2"/>
    <w:basedOn w:val="Normal"/>
    <w:link w:val="Nadpis2Char"/>
    <w:uiPriority w:val="99"/>
    <w:qFormat/>
    <w:rsid w:val="005d6aa0"/>
    <w:pPr>
      <w:keepNext/>
      <w:numPr>
        <w:ilvl w:val="1"/>
        <w:numId w:val="1"/>
      </w:numPr>
      <w:spacing w:before="240" w:after="60"/>
      <w:outlineLvl w:val="1"/>
    </w:pPr>
    <w:rPr>
      <w:rFonts w:eastAsia="MS Gothic"/>
      <w:b/>
      <w:bCs/>
      <w:iCs/>
      <w:sz w:val="28"/>
      <w:szCs w:val="28"/>
    </w:rPr>
  </w:style>
  <w:style w:type="paragraph" w:styleId="Heading3">
    <w:name w:val="Heading 3"/>
    <w:basedOn w:val="Normal"/>
    <w:link w:val="Nadpis3Char"/>
    <w:uiPriority w:val="99"/>
    <w:qFormat/>
    <w:rsid w:val="00b66472"/>
    <w:pPr>
      <w:keepNext/>
      <w:numPr>
        <w:ilvl w:val="2"/>
        <w:numId w:val="1"/>
      </w:numPr>
      <w:spacing w:before="240" w:after="60"/>
      <w:outlineLvl w:val="2"/>
    </w:pPr>
    <w:rPr>
      <w:rFonts w:ascii="Calibri" w:hAnsi="Calibri" w:eastAsia="MS Gothic"/>
      <w:b/>
      <w:bCs/>
      <w:sz w:val="26"/>
      <w:szCs w:val="26"/>
    </w:rPr>
  </w:style>
  <w:style w:type="paragraph" w:styleId="Heading4">
    <w:name w:val="Heading 4"/>
    <w:basedOn w:val="Normal"/>
    <w:link w:val="Nadpis4Char"/>
    <w:uiPriority w:val="99"/>
    <w:qFormat/>
    <w:rsid w:val="00b66472"/>
    <w:pPr>
      <w:keepNext/>
      <w:numPr>
        <w:ilvl w:val="3"/>
        <w:numId w:val="1"/>
      </w:numPr>
      <w:spacing w:before="240" w:after="60"/>
      <w:outlineLvl w:val="3"/>
    </w:pPr>
    <w:rPr>
      <w:rFonts w:ascii="Cambria" w:hAnsi="Cambria"/>
      <w:b/>
      <w:bCs/>
      <w:sz w:val="28"/>
      <w:szCs w:val="28"/>
    </w:rPr>
  </w:style>
  <w:style w:type="paragraph" w:styleId="Heading5">
    <w:name w:val="Heading 5"/>
    <w:basedOn w:val="Normal"/>
    <w:link w:val="Nadpis5Char"/>
    <w:uiPriority w:val="99"/>
    <w:qFormat/>
    <w:rsid w:val="00d27a7a"/>
    <w:pPr>
      <w:keepNext/>
      <w:widowControl w:val="false"/>
      <w:numPr>
        <w:ilvl w:val="4"/>
        <w:numId w:val="1"/>
      </w:numPr>
      <w:bidi w:val="0"/>
      <w:spacing w:lineRule="exact" w:line="260" w:before="400" w:after="0"/>
      <w:ind w:left="357" w:hanging="357"/>
      <w:jc w:val="left"/>
      <w:outlineLvl w:val="4"/>
    </w:pPr>
    <w:rPr>
      <w:rFonts w:ascii="Cambria" w:hAnsi="Cambria" w:eastAsia="MS Mincho" w:cs="Times New Roman"/>
      <w:color w:val="004785"/>
      <w:sz w:val="20"/>
      <w:szCs w:val="20"/>
      <w:lang w:val="sk-SK" w:eastAsia="ja-JP" w:bidi="ar-SA"/>
    </w:rPr>
  </w:style>
  <w:style w:type="character" w:styleId="DefaultParagraphFont" w:default="1">
    <w:name w:val="Default Paragraph Font"/>
    <w:uiPriority w:val="1"/>
    <w:semiHidden/>
    <w:unhideWhenUsed/>
    <w:qFormat/>
    <w:rPr/>
  </w:style>
  <w:style w:type="character" w:styleId="NzovChar" w:customStyle="1">
    <w:name w:val="Názov Char"/>
    <w:link w:val="Nzov"/>
    <w:qFormat/>
    <w:rsid w:val="00f523e3"/>
    <w:rPr>
      <w:rFonts w:ascii="Arial" w:hAnsi="Arial" w:eastAsia="MS Gothic" w:cs="Times New Roman"/>
      <w:b/>
      <w:bCs/>
      <w:sz w:val="40"/>
      <w:szCs w:val="40"/>
      <w:lang w:val="sk-SK"/>
    </w:rPr>
  </w:style>
  <w:style w:type="character" w:styleId="PodtitulChar" w:customStyle="1">
    <w:name w:val="Podtitul Char"/>
    <w:link w:val="Podtitul"/>
    <w:uiPriority w:val="11"/>
    <w:qFormat/>
    <w:rsid w:val="007f0a4f"/>
    <w:rPr>
      <w:rFonts w:ascii="Arial" w:hAnsi="Arial" w:eastAsia="MS Gothic" w:cs="Times New Roman"/>
      <w:sz w:val="24"/>
      <w:szCs w:val="24"/>
    </w:rPr>
  </w:style>
  <w:style w:type="character" w:styleId="PlainTable3">
    <w:name w:val="Plain Table 3"/>
    <w:uiPriority w:val="19"/>
    <w:qFormat/>
    <w:rsid w:val="007f0a4f"/>
    <w:rPr>
      <w:i/>
      <w:iCs/>
      <w:color w:val="808080"/>
    </w:rPr>
  </w:style>
  <w:style w:type="character" w:styleId="Zdraznenie">
    <w:name w:val="Zdôraznenie"/>
    <w:uiPriority w:val="20"/>
    <w:qFormat/>
    <w:rsid w:val="007f0a4f"/>
    <w:rPr>
      <w:i/>
      <w:iCs/>
    </w:rPr>
  </w:style>
  <w:style w:type="character" w:styleId="Nadpis1Char" w:customStyle="1">
    <w:name w:val="Nadpis 1 Char"/>
    <w:link w:val="Nadpis1"/>
    <w:uiPriority w:val="9"/>
    <w:qFormat/>
    <w:rsid w:val="005d6aa0"/>
    <w:rPr>
      <w:rFonts w:ascii="Arial" w:hAnsi="Arial" w:eastAsia="MS Gothic" w:cs="Times New Roman"/>
      <w:b/>
      <w:bCs/>
      <w:sz w:val="32"/>
      <w:szCs w:val="32"/>
      <w:lang w:val="sk-SK"/>
    </w:rPr>
  </w:style>
  <w:style w:type="character" w:styleId="Nadpis2Char" w:customStyle="1">
    <w:name w:val="Nadpis 2 Char"/>
    <w:link w:val="Nadpis2"/>
    <w:uiPriority w:val="9"/>
    <w:qFormat/>
    <w:rsid w:val="005d6aa0"/>
    <w:rPr>
      <w:rFonts w:ascii="Arial" w:hAnsi="Arial" w:eastAsia="MS Gothic" w:cs="Times New Roman"/>
      <w:b/>
      <w:bCs/>
      <w:iCs/>
      <w:sz w:val="28"/>
      <w:szCs w:val="28"/>
      <w:lang w:val="sk-SK"/>
    </w:rPr>
  </w:style>
  <w:style w:type="character" w:styleId="ZkladntextChar" w:customStyle="1">
    <w:name w:val="Základný text Char"/>
    <w:link w:val="Zkladntext"/>
    <w:uiPriority w:val="99"/>
    <w:qFormat/>
    <w:rsid w:val="00390086"/>
    <w:rPr>
      <w:rFonts w:ascii="Times New Roman" w:hAnsi="Times New Roman" w:eastAsia="Times New Roman"/>
      <w:sz w:val="22"/>
    </w:rPr>
  </w:style>
  <w:style w:type="character" w:styleId="Nadpis3Char" w:customStyle="1">
    <w:name w:val="Nadpis 3 Char"/>
    <w:link w:val="Nadpis3"/>
    <w:uiPriority w:val="9"/>
    <w:semiHidden/>
    <w:qFormat/>
    <w:rsid w:val="00b66472"/>
    <w:rPr>
      <w:rFonts w:ascii="Calibri" w:hAnsi="Calibri" w:eastAsia="MS Gothic" w:cs="Times New Roman"/>
      <w:b/>
      <w:bCs/>
      <w:sz w:val="26"/>
      <w:szCs w:val="26"/>
      <w:lang w:val="sk-SK"/>
    </w:rPr>
  </w:style>
  <w:style w:type="character" w:styleId="Nadpis4Char" w:customStyle="1">
    <w:name w:val="Nadpis 4 Char"/>
    <w:link w:val="Nadpis4"/>
    <w:uiPriority w:val="9"/>
    <w:semiHidden/>
    <w:qFormat/>
    <w:rsid w:val="00b66472"/>
    <w:rPr>
      <w:rFonts w:ascii="Cambria" w:hAnsi="Cambria" w:eastAsia="MS Mincho" w:cs="Times New Roman"/>
      <w:b/>
      <w:bCs/>
      <w:sz w:val="28"/>
      <w:szCs w:val="28"/>
      <w:lang w:val="sk-SK"/>
    </w:rPr>
  </w:style>
  <w:style w:type="character" w:styleId="TextpoznmkypodiarouChar" w:customStyle="1">
    <w:name w:val="Text poznámky pod čiarou Char"/>
    <w:link w:val="Textpoznmkypodiarou"/>
    <w:uiPriority w:val="99"/>
    <w:semiHidden/>
    <w:qFormat/>
    <w:rsid w:val="00b66472"/>
    <w:rPr>
      <w:rFonts w:ascii="Times New Roman" w:hAnsi="Times New Roman" w:eastAsia="Times New Roman"/>
      <w:sz w:val="18"/>
    </w:rPr>
  </w:style>
  <w:style w:type="character" w:styleId="Footnotereference">
    <w:name w:val="footnote reference"/>
    <w:uiPriority w:val="99"/>
    <w:qFormat/>
    <w:rsid w:val="00b66472"/>
    <w:rPr>
      <w:rFonts w:cs="Times New Roman"/>
      <w:vertAlign w:val="superscript"/>
    </w:rPr>
  </w:style>
  <w:style w:type="character" w:styleId="Internetovodkaz">
    <w:name w:val="Internetový odkaz"/>
    <w:uiPriority w:val="99"/>
    <w:qFormat/>
    <w:rsid w:val="00b66472"/>
    <w:rPr>
      <w:rFonts w:cs="Times New Roman"/>
      <w:color w:val="0000FF"/>
      <w:u w:val="single"/>
    </w:rPr>
  </w:style>
  <w:style w:type="character" w:styleId="08Bullet1Char" w:customStyle="1">
    <w:name w:val="08_Bullet 1 Char"/>
    <w:link w:val="08Bullet1"/>
    <w:uiPriority w:val="99"/>
    <w:qFormat/>
    <w:locked/>
    <w:rsid w:val="00b66472"/>
    <w:rPr>
      <w:rFonts w:ascii="Arial" w:hAnsi="Arial" w:eastAsia="Times New Roman"/>
      <w:lang w:val="sk-SK" w:eastAsia="cs-CZ"/>
    </w:rPr>
  </w:style>
  <w:style w:type="character" w:styleId="PopisChar" w:customStyle="1">
    <w:name w:val="Popis Char"/>
    <w:link w:val="Popis"/>
    <w:uiPriority w:val="99"/>
    <w:qFormat/>
    <w:locked/>
    <w:rsid w:val="00b66472"/>
    <w:rPr>
      <w:rFonts w:ascii="Arial" w:hAnsi="Arial" w:eastAsia="Times New Roman"/>
      <w:b/>
      <w:bCs/>
      <w:color w:val="1F497D"/>
      <w:u w:val="single"/>
      <w:lang w:val="sk-SK"/>
    </w:rPr>
  </w:style>
  <w:style w:type="character" w:styleId="12CaptionChar" w:customStyle="1">
    <w:name w:val="12_Caption Char"/>
    <w:link w:val="12Caption"/>
    <w:uiPriority w:val="99"/>
    <w:qFormat/>
    <w:locked/>
    <w:rsid w:val="00b66472"/>
    <w:rPr>
      <w:rFonts w:ascii="Arial" w:hAnsi="Arial" w:eastAsia="Times New Roman"/>
      <w:b/>
      <w:bCs/>
      <w:color w:val="1F497D"/>
      <w:u w:val="single"/>
      <w:lang w:val="sk-SK"/>
    </w:rPr>
  </w:style>
  <w:style w:type="character" w:styleId="06NormalChar" w:customStyle="1">
    <w:name w:val="06_Normal Char"/>
    <w:link w:val="06Normal"/>
    <w:uiPriority w:val="99"/>
    <w:qFormat/>
    <w:locked/>
    <w:rsid w:val="00b66472"/>
    <w:rPr>
      <w:rFonts w:ascii="Arial" w:hAnsi="Arial" w:eastAsia="Times New Roman"/>
      <w:lang w:val="sk-SK"/>
    </w:rPr>
  </w:style>
  <w:style w:type="character" w:styleId="07NadpisbezslaChar" w:customStyle="1">
    <w:name w:val="07_Nadpis bez čísla Char"/>
    <w:link w:val="07Nadpisbezsla"/>
    <w:uiPriority w:val="99"/>
    <w:qFormat/>
    <w:locked/>
    <w:rsid w:val="00b66472"/>
    <w:rPr>
      <w:rFonts w:ascii="Arial" w:hAnsi="Arial" w:eastAsia="Times New Roman"/>
      <w:b/>
      <w:color w:val="1F497D"/>
      <w:lang w:val="sk-SK"/>
    </w:rPr>
  </w:style>
  <w:style w:type="character" w:styleId="09Bullet2Char" w:customStyle="1">
    <w:name w:val="09_Bullet 2 Char"/>
    <w:link w:val="09Bullet2"/>
    <w:qFormat/>
    <w:locked/>
    <w:rsid w:val="00b66472"/>
    <w:rPr>
      <w:rFonts w:ascii="Arial" w:hAnsi="Arial" w:eastAsia="Times New Roman"/>
      <w:lang w:val="sk-SK"/>
    </w:rPr>
  </w:style>
  <w:style w:type="character" w:styleId="08Bullet01Char" w:customStyle="1">
    <w:name w:val="08_Bullet_01 Char"/>
    <w:link w:val="08Bullet01"/>
    <w:qFormat/>
    <w:rsid w:val="00b66472"/>
    <w:rPr>
      <w:rFonts w:ascii="Arial" w:hAnsi="Arial" w:eastAsia="Arial Unicode MS"/>
      <w:lang w:val="sk-SK" w:eastAsia="cs-CZ"/>
    </w:rPr>
  </w:style>
  <w:style w:type="character" w:styleId="Strong1" w:customStyle="1">
    <w:name w:val="Strong1"/>
    <w:uiPriority w:val="99"/>
    <w:qFormat/>
    <w:rsid w:val="00db7fbf"/>
    <w:rPr/>
  </w:style>
  <w:style w:type="character" w:styleId="PtaChar" w:customStyle="1">
    <w:name w:val="Päta Char"/>
    <w:link w:val="Pta"/>
    <w:uiPriority w:val="99"/>
    <w:qFormat/>
    <w:rsid w:val="001f68b4"/>
    <w:rPr>
      <w:rFonts w:ascii="Arial" w:hAnsi="Arial"/>
      <w:szCs w:val="24"/>
      <w:lang w:val="sk-SK"/>
    </w:rPr>
  </w:style>
  <w:style w:type="character" w:styleId="Pagenumber">
    <w:name w:val="page number"/>
    <w:uiPriority w:val="99"/>
    <w:semiHidden/>
    <w:unhideWhenUsed/>
    <w:qFormat/>
    <w:rsid w:val="001f68b4"/>
    <w:rPr/>
  </w:style>
  <w:style w:type="character" w:styleId="Nadpis5Char" w:customStyle="1">
    <w:name w:val="Nadpis 5 Char"/>
    <w:link w:val="Nadpis5"/>
    <w:uiPriority w:val="99"/>
    <w:qFormat/>
    <w:rsid w:val="00d27a7a"/>
    <w:rPr>
      <w:rFonts w:ascii="Arial" w:hAnsi="Arial" w:eastAsia="Times New Roman"/>
      <w:color w:val="004785"/>
      <w:lang w:val="sk-SK"/>
    </w:rPr>
  </w:style>
  <w:style w:type="character" w:styleId="ListLabel1">
    <w:name w:val="ListLabel 1"/>
    <w:qFormat/>
    <w:rPr>
      <w:b/>
      <w:color w:val="1F497D"/>
    </w:rPr>
  </w:style>
  <w:style w:type="character" w:styleId="ListLabel2">
    <w:name w:val="ListLabel 2"/>
    <w:qFormat/>
    <w:rPr>
      <w:color w:val="17365D"/>
      <w:sz w:val="18"/>
    </w:rPr>
  </w:style>
  <w:style w:type="character" w:styleId="ListLabel3">
    <w:name w:val="ListLabel 3"/>
    <w:qFormat/>
    <w:rPr>
      <w:rFonts w:cs="Times New Roman"/>
      <w:color w:val="1F497D"/>
    </w:rPr>
  </w:style>
  <w:style w:type="character" w:styleId="ListLabel4">
    <w:name w:val="ListLabel 4"/>
    <w:qFormat/>
    <w:rPr>
      <w:color w:val="17365D"/>
      <w:sz w:val="18"/>
    </w:rPr>
  </w:style>
  <w:style w:type="character" w:styleId="ListLabel5">
    <w:name w:val="ListLabel 5"/>
    <w:qFormat/>
    <w:rPr>
      <w:rFonts w:cs="Times New Roman"/>
      <w:color w:val="1F497D"/>
    </w:rPr>
  </w:style>
  <w:style w:type="character" w:styleId="ListLabel6">
    <w:name w:val="ListLabel 6"/>
    <w:qFormat/>
    <w:rPr>
      <w:color w:val="17365D"/>
      <w:sz w:val="18"/>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color w:val="00000A"/>
      <w:sz w:val="22"/>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b w:val="false"/>
      <w:bCs w:val="false"/>
      <w:i w:val="false"/>
      <w:iCs w:val="false"/>
      <w:caps w:val="false"/>
      <w:smallCaps w:val="false"/>
      <w:strike w:val="false"/>
      <w:dstrike w:val="false"/>
      <w:vanish w:val="false"/>
      <w:color w:val="000000"/>
      <w:spacing w:val="0"/>
      <w:position w:val="0"/>
      <w:sz w:val="20"/>
      <w:sz w:val="20"/>
      <w:u w:val="none"/>
      <w:effect w:val="none"/>
      <w:vertAlign w:val="baseline"/>
    </w:rPr>
  </w:style>
  <w:style w:type="character" w:styleId="ListLabel30">
    <w:name w:val="ListLabel 30"/>
    <w:qFormat/>
    <w:rPr>
      <w:rFonts w:cs="Times New Roman"/>
      <w:b w:val="false"/>
      <w:bCs w:val="false"/>
      <w:i w:val="false"/>
      <w:iCs w:val="false"/>
      <w:caps w:val="false"/>
      <w:smallCaps w:val="false"/>
      <w:strike w:val="false"/>
      <w:dstrike w:val="false"/>
      <w:vanish w:val="false"/>
      <w:color w:val="000000"/>
      <w:spacing w:val="0"/>
      <w:position w:val="0"/>
      <w:sz w:val="20"/>
      <w:sz w:val="20"/>
      <w:u w:val="none"/>
      <w:effect w:val="none"/>
      <w:vertAlign w:val="baseline"/>
    </w:rPr>
  </w:style>
  <w:style w:type="character" w:styleId="ListLabel31">
    <w:name w:val="ListLabel 31"/>
    <w:qFormat/>
    <w:rPr>
      <w:rFonts w:cs="Times New Roman"/>
    </w:rPr>
  </w:style>
  <w:style w:type="character" w:styleId="ListLabel32">
    <w:name w:val="ListLabel 32"/>
    <w:qFormat/>
    <w:rPr>
      <w:rFonts w:ascii="Arial" w:hAnsi="Arial" w:cs="Times New Roman"/>
      <w:sz w:val="20"/>
    </w:rPr>
  </w:style>
  <w:style w:type="character" w:styleId="ListLabel33">
    <w:name w:val="ListLabel 33"/>
    <w:qFormat/>
    <w:rPr>
      <w:rFonts w:cs="Times New Roman"/>
    </w:rPr>
  </w:style>
  <w:style w:type="character" w:styleId="ListLabel34">
    <w:name w:val="ListLabel 34"/>
    <w:qFormat/>
    <w:rPr>
      <w:rFonts w:cs="Times New Roman"/>
    </w:rPr>
  </w:style>
  <w:style w:type="character" w:styleId="Znakyprepoznmkupodiarou">
    <w:name w:val="Znaky pre poznámku pod čiarou"/>
    <w:qFormat/>
    <w:rPr/>
  </w:style>
  <w:style w:type="character" w:styleId="Ukotveniepoznmkypodiarou">
    <w:name w:val="Ukotvenie poznámky pod čiarou"/>
    <w:qFormat/>
    <w:rPr>
      <w:vertAlign w:val="superscript"/>
    </w:rPr>
  </w:style>
  <w:style w:type="character" w:styleId="Ukotveniekoncovejpoznmky">
    <w:name w:val="Ukotvenie koncovej poznámky"/>
    <w:qFormat/>
    <w:rPr>
      <w:vertAlign w:val="superscript"/>
    </w:rPr>
  </w:style>
  <w:style w:type="character" w:styleId="Znakyprekoncovpoznmku">
    <w:name w:val="Znaky pre koncovú poznámku"/>
    <w:qFormat/>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b w:val="false"/>
      <w:bCs w:val="false"/>
      <w:i w:val="false"/>
      <w:iCs w:val="false"/>
      <w:caps w:val="false"/>
      <w:smallCaps w:val="false"/>
      <w:strike w:val="false"/>
      <w:dstrike w:val="false"/>
      <w:vanish w:val="false"/>
      <w:color w:val="000000"/>
      <w:spacing w:val="0"/>
      <w:position w:val="0"/>
      <w:sz w:val="20"/>
      <w:sz w:val="20"/>
      <w:u w:val="none"/>
      <w:effect w:val="none"/>
      <w:vertAlign w:val="baseline"/>
    </w:rPr>
  </w:style>
  <w:style w:type="character" w:styleId="ListLabel39">
    <w:name w:val="ListLabel 39"/>
    <w:qFormat/>
    <w:rPr>
      <w:rFonts w:cs="Times New Roman"/>
      <w:b w:val="false"/>
      <w:bCs w:val="false"/>
      <w:i w:val="false"/>
      <w:iCs w:val="false"/>
      <w:caps w:val="false"/>
      <w:smallCaps w:val="false"/>
      <w:strike w:val="false"/>
      <w:dstrike w:val="false"/>
      <w:vanish w:val="false"/>
      <w:color w:val="000000"/>
      <w:spacing w:val="0"/>
      <w:position w:val="0"/>
      <w:sz w:val="20"/>
      <w:sz w:val="20"/>
      <w:u w:val="none"/>
      <w:effect w:val="none"/>
      <w:vertAlign w:val="baseline"/>
    </w:rPr>
  </w:style>
  <w:style w:type="character" w:styleId="ListLabel40">
    <w:name w:val="ListLabel 40"/>
    <w:qFormat/>
    <w:rPr>
      <w:rFonts w:cs="Wingdings"/>
      <w:b/>
      <w:color w:val="1F497D"/>
    </w:rPr>
  </w:style>
  <w:style w:type="character" w:styleId="ListLabel41">
    <w:name w:val="ListLabel 41"/>
    <w:qFormat/>
    <w:rPr>
      <w:rFonts w:cs="Arial"/>
      <w:color w:val="17365D"/>
      <w:sz w:val="18"/>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Aria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Times New Roman"/>
      <w:color w:val="1F497D"/>
    </w:rPr>
  </w:style>
  <w:style w:type="character" w:styleId="ListLabel59">
    <w:name w:val="ListLabel 59"/>
    <w:qFormat/>
    <w:rPr>
      <w:rFonts w:cs="Arial"/>
      <w:color w:val="17365D"/>
      <w:sz w:val="18"/>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Times New Roman"/>
      <w:color w:val="1F497D"/>
    </w:rPr>
  </w:style>
  <w:style w:type="character" w:styleId="ListLabel68">
    <w:name w:val="ListLabel 68"/>
    <w:qFormat/>
    <w:rPr>
      <w:rFonts w:cs="Arial"/>
      <w:color w:val="17365D"/>
      <w:sz w:val="18"/>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b w:val="false"/>
      <w:bCs w:val="false"/>
      <w:i w:val="false"/>
      <w:iCs w:val="false"/>
      <w:caps w:val="false"/>
      <w:smallCaps w:val="false"/>
      <w:strike w:val="false"/>
      <w:dstrike w:val="false"/>
      <w:vanish w:val="false"/>
      <w:color w:val="000000"/>
      <w:spacing w:val="0"/>
      <w:position w:val="0"/>
      <w:sz w:val="20"/>
      <w:sz w:val="20"/>
      <w:u w:val="none"/>
      <w:effect w:val="none"/>
      <w:vertAlign w:val="baseline"/>
    </w:rPr>
  </w:style>
  <w:style w:type="character" w:styleId="ListLabel98">
    <w:name w:val="ListLabel 98"/>
    <w:qFormat/>
    <w:rPr>
      <w:rFonts w:cs="Times New Roman"/>
      <w:b w:val="false"/>
      <w:bCs w:val="false"/>
      <w:i w:val="false"/>
      <w:iCs w:val="false"/>
      <w:caps w:val="false"/>
      <w:smallCaps w:val="false"/>
      <w:strike w:val="false"/>
      <w:dstrike w:val="false"/>
      <w:vanish w:val="false"/>
      <w:color w:val="000000"/>
      <w:spacing w:val="0"/>
      <w:position w:val="0"/>
      <w:sz w:val="20"/>
      <w:sz w:val="20"/>
      <w:u w:val="none"/>
      <w:effect w:val="none"/>
      <w:vertAlign w:val="baseline"/>
    </w:rPr>
  </w:style>
  <w:style w:type="character" w:styleId="ListLabel99">
    <w:name w:val="ListLabel 99"/>
    <w:qFormat/>
    <w:rPr>
      <w:rFonts w:cs="Times New Roman"/>
    </w:rPr>
  </w:style>
  <w:style w:type="character" w:styleId="ListLabel100">
    <w:name w:val="ListLabel 100"/>
    <w:qFormat/>
    <w:rPr>
      <w:rFonts w:ascii="Arial" w:hAnsi="Arial" w:cs="Times New Roman"/>
      <w:sz w:val="20"/>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InternetLink">
    <w:name w:val="Internet Link"/>
    <w:rPr>
      <w:color w:val="000080"/>
      <w:u w:val="single"/>
      <w:lang w:val="zxx" w:eastAsia="zxx" w:bidi="zxx"/>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link w:val="ZkladntextChar"/>
    <w:uiPriority w:val="99"/>
    <w:rsid w:val="00390086"/>
    <w:pPr>
      <w:spacing w:before="130" w:after="130"/>
      <w:jc w:val="both"/>
    </w:pPr>
    <w:rPr>
      <w:rFonts w:ascii="Times New Roman" w:hAnsi="Times New Roman" w:eastAsia="Times New Roman"/>
      <w:sz w:val="22"/>
      <w:szCs w:val="20"/>
      <w:lang w:val="en-US"/>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adpis">
    <w:name w:val="Nadpis"/>
    <w:basedOn w:val="Normal"/>
    <w:qFormat/>
    <w:pPr>
      <w:keepNext/>
      <w:spacing w:before="240" w:after="120"/>
    </w:pPr>
    <w:rPr>
      <w:rFonts w:ascii="Liberation Sans" w:hAnsi="Liberation Sans" w:eastAsia="Noto Sans CJK SC Regular" w:cs="FreeSans"/>
      <w:sz w:val="28"/>
      <w:szCs w:val="28"/>
    </w:rPr>
  </w:style>
  <w:style w:type="paragraph" w:styleId="Title">
    <w:name w:val="Title"/>
    <w:basedOn w:val="Normal"/>
    <w:link w:val="NzovChar"/>
    <w:qFormat/>
    <w:rsid w:val="00f523e3"/>
    <w:pPr>
      <w:spacing w:before="240" w:after="60"/>
      <w:jc w:val="center"/>
      <w:outlineLvl w:val="0"/>
    </w:pPr>
    <w:rPr>
      <w:rFonts w:eastAsia="MS Gothic"/>
      <w:b/>
      <w:bCs/>
      <w:sz w:val="40"/>
      <w:szCs w:val="40"/>
    </w:rPr>
  </w:style>
  <w:style w:type="paragraph" w:styleId="Subtitle">
    <w:name w:val="Subtitle"/>
    <w:basedOn w:val="Normal"/>
    <w:link w:val="PodtitulChar"/>
    <w:uiPriority w:val="11"/>
    <w:qFormat/>
    <w:rsid w:val="007f0a4f"/>
    <w:pPr>
      <w:jc w:val="center"/>
      <w:outlineLvl w:val="1"/>
    </w:pPr>
    <w:rPr>
      <w:rFonts w:eastAsia="MS Gothic"/>
      <w:sz w:val="24"/>
    </w:rPr>
  </w:style>
  <w:style w:type="paragraph" w:styleId="Footnotetext">
    <w:name w:val="footnote text"/>
    <w:basedOn w:val="Normal"/>
    <w:link w:val="TextpoznmkypodiarouChar"/>
    <w:uiPriority w:val="99"/>
    <w:semiHidden/>
    <w:qFormat/>
    <w:rsid w:val="00b66472"/>
    <w:pPr>
      <w:spacing w:before="120" w:after="0"/>
    </w:pPr>
    <w:rPr>
      <w:rFonts w:ascii="Times New Roman" w:hAnsi="Times New Roman" w:eastAsia="Times New Roman"/>
      <w:sz w:val="18"/>
      <w:szCs w:val="20"/>
      <w:lang w:val="en-US"/>
    </w:rPr>
  </w:style>
  <w:style w:type="paragraph" w:styleId="Caption1">
    <w:name w:val="caption"/>
    <w:basedOn w:val="Normal"/>
    <w:link w:val="PopisChar"/>
    <w:uiPriority w:val="99"/>
    <w:qFormat/>
    <w:rsid w:val="00b66472"/>
    <w:pPr>
      <w:spacing w:before="120" w:after="0"/>
    </w:pPr>
    <w:rPr>
      <w:rFonts w:eastAsia="Times New Roman"/>
      <w:b/>
      <w:bCs/>
      <w:color w:val="1F497D"/>
      <w:szCs w:val="20"/>
      <w:u w:val="single"/>
    </w:rPr>
  </w:style>
  <w:style w:type="paragraph" w:styleId="08Bullet1" w:customStyle="1">
    <w:name w:val="08_Bullet 1"/>
    <w:link w:val="08Bullet1Char"/>
    <w:uiPriority w:val="99"/>
    <w:qFormat/>
    <w:rsid w:val="00b66472"/>
    <w:pPr>
      <w:widowControl w:val="false"/>
      <w:bidi w:val="0"/>
      <w:spacing w:before="0" w:after="120"/>
      <w:ind w:left="360" w:hanging="360"/>
      <w:jc w:val="left"/>
    </w:pPr>
    <w:rPr>
      <w:rFonts w:ascii="Cambria" w:hAnsi="Cambria" w:eastAsia="MS Mincho" w:cs="Times New Roman"/>
      <w:color w:val="00000A"/>
      <w:kern w:val="0"/>
      <w:sz w:val="20"/>
      <w:szCs w:val="20"/>
      <w:lang w:val="sk-SK" w:eastAsia="cs-CZ" w:bidi="ar-SA"/>
    </w:rPr>
  </w:style>
  <w:style w:type="paragraph" w:styleId="12Caption" w:customStyle="1">
    <w:name w:val="12_Caption"/>
    <w:basedOn w:val="Caption1"/>
    <w:link w:val="12CaptionChar"/>
    <w:uiPriority w:val="99"/>
    <w:qFormat/>
    <w:rsid w:val="00b66472"/>
    <w:pPr>
      <w:keepNext/>
      <w:spacing w:before="240" w:after="80"/>
    </w:pPr>
    <w:rPr/>
  </w:style>
  <w:style w:type="paragraph" w:styleId="06Normal" w:customStyle="1">
    <w:name w:val="06_Normal"/>
    <w:link w:val="06NormalChar"/>
    <w:uiPriority w:val="99"/>
    <w:qFormat/>
    <w:rsid w:val="00b66472"/>
    <w:pPr>
      <w:widowControl/>
      <w:bidi w:val="0"/>
      <w:spacing w:before="120" w:after="0"/>
      <w:jc w:val="both"/>
    </w:pPr>
    <w:rPr>
      <w:rFonts w:ascii="Arial" w:hAnsi="Arial" w:eastAsia="Times New Roman" w:cs="Times New Roman"/>
      <w:color w:val="00000A"/>
      <w:kern w:val="0"/>
      <w:sz w:val="20"/>
      <w:szCs w:val="20"/>
      <w:lang w:val="sk-SK" w:eastAsia="en-US" w:bidi="ar-SA"/>
    </w:rPr>
  </w:style>
  <w:style w:type="paragraph" w:styleId="07Nadpisbezsla" w:customStyle="1">
    <w:name w:val="07_Nadpis bez čísla"/>
    <w:basedOn w:val="06Normal"/>
    <w:link w:val="07NadpisbezslaChar"/>
    <w:uiPriority w:val="99"/>
    <w:qFormat/>
    <w:rsid w:val="00b66472"/>
    <w:pPr>
      <w:keepNext/>
      <w:spacing w:before="240" w:after="120"/>
    </w:pPr>
    <w:rPr>
      <w:b/>
      <w:color w:val="1F497D"/>
    </w:rPr>
  </w:style>
  <w:style w:type="paragraph" w:styleId="09Bullet2" w:customStyle="1">
    <w:name w:val="09_Bullet 2"/>
    <w:basedOn w:val="06Normal"/>
    <w:link w:val="09Bullet2Char"/>
    <w:qFormat/>
    <w:rsid w:val="00b66472"/>
    <w:pPr>
      <w:ind w:left="714" w:hanging="357"/>
    </w:pPr>
    <w:rPr/>
  </w:style>
  <w:style w:type="paragraph" w:styleId="08Bullet01" w:customStyle="1">
    <w:name w:val="08_Bullet_01"/>
    <w:basedOn w:val="08Bullet1"/>
    <w:link w:val="08Bullet01Char"/>
    <w:qFormat/>
    <w:rsid w:val="00b66472"/>
    <w:pPr/>
    <w:rPr>
      <w:rFonts w:eastAsia="Arial Unicode MS"/>
    </w:rPr>
  </w:style>
  <w:style w:type="paragraph" w:styleId="ListBullet">
    <w:name w:val="List Bullet"/>
    <w:basedOn w:val="TextBody"/>
    <w:uiPriority w:val="99"/>
    <w:qFormat/>
    <w:rsid w:val="00b0130b"/>
    <w:pPr/>
    <w:rPr/>
  </w:style>
  <w:style w:type="paragraph" w:styleId="ListBullet2">
    <w:name w:val="List Bullet 2"/>
    <w:basedOn w:val="ListBullet"/>
    <w:uiPriority w:val="99"/>
    <w:qFormat/>
    <w:rsid w:val="00b0130b"/>
    <w:pPr>
      <w:tabs>
        <w:tab w:val="left" w:pos="680" w:leader="none"/>
      </w:tabs>
      <w:ind w:left="680" w:hanging="0"/>
    </w:pPr>
    <w:rPr/>
  </w:style>
  <w:style w:type="paragraph" w:styleId="Footer">
    <w:name w:val="Footer"/>
    <w:basedOn w:val="Normal"/>
    <w:link w:val="PtaChar"/>
    <w:uiPriority w:val="99"/>
    <w:unhideWhenUsed/>
    <w:rsid w:val="001f68b4"/>
    <w:pPr>
      <w:tabs>
        <w:tab w:val="center" w:pos="4320" w:leader="none"/>
        <w:tab w:val="right" w:pos="8640" w:leader="none"/>
      </w:tabs>
    </w:pPr>
    <w:rPr/>
  </w:style>
  <w:style w:type="paragraph" w:styleId="Contents1">
    <w:name w:val="TOC 1"/>
    <w:basedOn w:val="Normal"/>
    <w:autoRedefine/>
    <w:uiPriority w:val="39"/>
    <w:unhideWhenUsed/>
    <w:rsid w:val="005140e4"/>
    <w:pPr/>
    <w:rPr/>
  </w:style>
  <w:style w:type="paragraph" w:styleId="Contents2">
    <w:name w:val="TOC 2"/>
    <w:basedOn w:val="Normal"/>
    <w:autoRedefine/>
    <w:uiPriority w:val="39"/>
    <w:unhideWhenUsed/>
    <w:rsid w:val="005140e4"/>
    <w:pPr>
      <w:ind w:left="200" w:hanging="0"/>
    </w:pPr>
    <w:rPr/>
  </w:style>
  <w:style w:type="paragraph" w:styleId="Footnote">
    <w:name w:val="Footnote Text"/>
    <w:basedOn w:val="Normal"/>
    <w:pPr/>
    <w:rPr/>
  </w:style>
  <w:style w:type="paragraph" w:styleId="Obsahrmca">
    <w:name w:val="Obsah rámca"/>
    <w:basedOn w:val="Normal"/>
    <w:qFormat/>
    <w:pPr/>
    <w:rPr/>
  </w:style>
  <w:style w:type="paragraph" w:styleId="Obsahtabuky">
    <w:name w:val="Obsah tabuľky"/>
    <w:basedOn w:val="Normal"/>
    <w:qFormat/>
    <w:pPr/>
    <w:rPr/>
  </w:style>
  <w:style w:type="paragraph" w:styleId="Nadpistabuky">
    <w:name w:val="Nadpis tabuľky"/>
    <w:basedOn w:val="Obsahtabuky"/>
    <w:qFormat/>
    <w:pPr/>
    <w:rPr/>
  </w:style>
  <w:style w:type="paragraph" w:styleId="FrameContents">
    <w:name w:val="Frame Contents"/>
    <w:basedOn w:val="Normal"/>
    <w:qFormat/>
    <w:pPr/>
    <w:rPr/>
  </w:style>
  <w:style w:type="paragraph" w:styleId="TableContents">
    <w:name w:val="Table Contents"/>
    <w:basedOn w:val="Normal"/>
    <w:qFormat/>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s>
</file>

<file path=word/_rels/comments.xml.rels><?xml version="1.0" encoding="UTF-8"?>
<Relationships xmlns="http://schemas.openxmlformats.org/package/2006/relationships"><Relationship Id="rId1" Type="http://schemas.openxmlformats.org/officeDocument/2006/relationships/hyperlink" Target="https://wiki.finance.gov.sk/pages/viewpage.action?pageId=23986518" TargetMode="External"/><Relationship Id="rId2" Type="http://schemas.openxmlformats.org/officeDocument/2006/relationships/hyperlink" Target="https://wiki.finance.gov.sk/pages/viewpage.action?pageId=20023176" TargetMode="External"/>
</Relationships>
</file>

<file path=word/_rels/document.xml.rels><?xml version="1.0" encoding="UTF-8" standalone="yes"?>
<Relationships xmlns="http://schemas.openxmlformats.org/package/2006/relationships"><Relationship Id="rId8" Type="http://schemas.openxmlformats.org/officeDocument/2006/relationships/image" Target="media/image7.wmf"/><Relationship Id="rId13" Type="http://schemas.openxmlformats.org/officeDocument/2006/relationships/image" Target="media/image11.png"/><Relationship Id="rId18" Type="http://schemas.openxmlformats.org/officeDocument/2006/relationships/hyperlink" Target="file:///C:/relative/URI/with/absolute/path/to/resource.txt" TargetMode="External"/><Relationship Id="rId26" Type="http://schemas.openxmlformats.org/officeDocument/2006/relationships/theme" Target="theme/theme1.xml"/><Relationship Id="rId3" Type="http://schemas.openxmlformats.org/officeDocument/2006/relationships/image" Target="media/image2.wmf"/><Relationship Id="rId21" Type="http://schemas.openxmlformats.org/officeDocument/2006/relationships/footnotes" Target="footnotes.xml"/><Relationship Id="rId7" Type="http://schemas.openxmlformats.org/officeDocument/2006/relationships/image" Target="media/image6.wmf"/><Relationship Id="rId12" Type="http://schemas.openxmlformats.org/officeDocument/2006/relationships/image" Target="media/image10.wmf"/><Relationship Id="rId17" Type="http://schemas.openxmlformats.org/officeDocument/2006/relationships/hyperlink" Target="http://somehost/absolute/URI/with/absolute/path/to/resource.txt" TargetMode="External"/><Relationship Id="rId25" Type="http://schemas.openxmlformats.org/officeDocument/2006/relationships/settings" Target="settings.xml"/><Relationship Id="rId2" Type="http://schemas.openxmlformats.org/officeDocument/2006/relationships/image" Target="media/image1.png"/><Relationship Id="rId16" Type="http://schemas.openxmlformats.org/officeDocument/2006/relationships/hyperlink" Target="file:///C:/Users/bosa101718/AppData/Roaming/Microsoft/Word/data.gov.sk" TargetMode="External"/><Relationship Id="rId20" Type="http://schemas.openxmlformats.org/officeDocument/2006/relationships/footer" Target="footer1.xml"/><Relationship Id="rId29"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image" Target="media/image5.wmf"/><Relationship Id="rId11" Type="http://schemas.openxmlformats.org/officeDocument/2006/relationships/image" Target="media/image9.wmf"/><Relationship Id="rId24" Type="http://schemas.openxmlformats.org/officeDocument/2006/relationships/fontTable" Target="fontTable.xml"/><Relationship Id="rId5" Type="http://schemas.openxmlformats.org/officeDocument/2006/relationships/image" Target="media/image4.wmf"/><Relationship Id="rId15" Type="http://schemas.openxmlformats.org/officeDocument/2006/relationships/image" Target="media/image13.wmf"/><Relationship Id="rId23" Type="http://schemas.openxmlformats.org/officeDocument/2006/relationships/numbering" Target="numbering.xml"/><Relationship Id="rId28" Type="http://schemas.openxmlformats.org/officeDocument/2006/relationships/customXml" Target="../customXml/item2.xml"/><Relationship Id="rId10" Type="http://schemas.openxmlformats.org/officeDocument/2006/relationships/hyperlink" Target="https://wiki.finance.gov.sk/pages/viewpage.action?pageId=23986522" TargetMode="External"/><Relationship Id="rId19" Type="http://schemas.openxmlformats.org/officeDocument/2006/relationships/hyperlink" Target="http://cs.wikipedia.org:80/w/wiki.phtml?title=URL&amp;action=edit" TargetMode="External"/><Relationship Id="rId31" Type="http://schemas.openxmlformats.org/officeDocument/2006/relationships/customXml" Target="../customXml/item5.xml"/><Relationship Id="rId4" Type="http://schemas.openxmlformats.org/officeDocument/2006/relationships/image" Target="media/image3.wmf"/><Relationship Id="rId9" Type="http://schemas.openxmlformats.org/officeDocument/2006/relationships/image" Target="media/image8.wmf"/><Relationship Id="rId14" Type="http://schemas.openxmlformats.org/officeDocument/2006/relationships/image" Target="media/image12.wmf"/><Relationship Id="rId22" Type="http://schemas.openxmlformats.org/officeDocument/2006/relationships/comments" Target="comments.xml"/><Relationship Id="rId27" Type="http://schemas.openxmlformats.org/officeDocument/2006/relationships/customXml" Target="../customXml/item1.xml"/><Relationship Id="rId30" Type="http://schemas.openxmlformats.org/officeDocument/2006/relationships/customXml" Target="../customXml/item4.xml"/></Relationships>
</file>

<file path=word/_rels/footnotes.xml.rels><?xml version="1.0" encoding="UTF-8"?>
<Relationships xmlns="http://schemas.openxmlformats.org/package/2006/relationships"><Relationship Id="rId1" Type="http://schemas.openxmlformats.org/officeDocument/2006/relationships/hyperlink" Target="https://index.okfn.org/" TargetMode="External"/><Relationship Id="rId2" Type="http://schemas.openxmlformats.org/officeDocument/2006/relationships/hyperlink" Target="http://www.opendataresearch.org/project/2013/odb" TargetMode="External"/><Relationship Id="rId3" Type="http://schemas.openxmlformats.org/officeDocument/2006/relationships/hyperlink" Target="http://www.w3.org/TR/rdfa-primer/" TargetMode="External"/><Relationship Id="rId4" Type="http://schemas.openxmlformats.org/officeDocument/2006/relationships/hyperlink" Target="http://www.w3.org/TR/json-ld/" TargetMode="External"/><Relationship Id="rId5" Type="http://schemas.openxmlformats.org/officeDocument/2006/relationships/hyperlink" Target="http://www.w3.org/TR/turtl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af457a4c-de28-4d38-bda9-e56a61b168cd">CTYWSUCD3UHA-699772915-84</_dlc_DocId>
    <_dlc_DocIdUrl xmlns="af457a4c-de28-4d38-bda9-e56a61b168cd">
      <Url>https://sp.finance.gov.sk/lepsie-data/_layouts/15/DocIdRedir.aspx?ID=CTYWSUCD3UHA-699772915-84</Url>
      <Description>CTYWSUCD3UHA-699772915-84</Description>
    </_dlc_DocIdUrl>
    <PublishingExpirationDate xmlns="http://schemas.microsoft.com/sharepoint/v3" xsi:nil="true"/>
    <PublishingStartDate xmlns="http://schemas.microsoft.com/sharepoint/v3"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843554F6-FA6E-4D30-8DC2-E0EFE2F5A7F9}"/>
</file>

<file path=customXml/itemProps2.xml><?xml version="1.0" encoding="utf-8"?>
<ds:datastoreItem xmlns:ds="http://schemas.openxmlformats.org/officeDocument/2006/customXml" ds:itemID="{230138AF-483F-4223-B1C0-9AF12CBA47CD}"/>
</file>

<file path=customXml/itemProps3.xml><?xml version="1.0" encoding="utf-8"?>
<ds:datastoreItem xmlns:ds="http://schemas.openxmlformats.org/officeDocument/2006/customXml" ds:itemID="{F55CC209-0301-43BD-874F-B346FB2E7304}"/>
</file>

<file path=customXml/itemProps4.xml><?xml version="1.0" encoding="utf-8"?>
<ds:datastoreItem xmlns:ds="http://schemas.openxmlformats.org/officeDocument/2006/customXml" ds:itemID="{D500647D-2E68-4AEB-B2C8-4D1EFE35A43F}"/>
</file>

<file path=customXml/itemProps5.xml><?xml version="1.0" encoding="utf-8"?>
<ds:datastoreItem xmlns:ds="http://schemas.openxmlformats.org/officeDocument/2006/customXml" ds:itemID="{DF1319FF-7CA1-4CD8-85B7-2B338791FB14}"/>
</file>

<file path=docProps/app.xml><?xml version="1.0" encoding="utf-8"?>
<Properties xmlns="http://schemas.openxmlformats.org/officeDocument/2006/extended-properties" xmlns:vt="http://schemas.openxmlformats.org/officeDocument/2006/docPropsVTypes">
  <Template>Normal.dotm</Template>
  <TotalTime>425</TotalTime>
  <Application>LibreOffice/5.4.0.3$Linux_X86_64 LibreOffice_project/7556cbc6811c9d992f4064ab9287069087d7f62c</Application>
  <Pages>21</Pages>
  <Words>4479</Words>
  <Characters>29347</Characters>
  <CharactersWithSpaces>33401</CharactersWithSpaces>
  <Paragraphs>406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Miroslav Líška</cp:lastModifiedBy>
  <cp:revision>194</cp:revision>
  <dcterms:created xsi:type="dcterms:W3CDTF">2017-09-25T18:37:00Z</dcterms:created>
  <dcterms:modified xsi:type="dcterms:W3CDTF">2017-09-26T12:15:48Z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ntentTypeId">
    <vt:lpwstr>0x0101009CA8111DA4157847AB3D28A315D6E359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
    <vt:lpwstr>CTYWSUCD3UHA-699772915-33</vt:lpwstr>
  </property>
  <property fmtid="{D5CDD505-2E9C-101B-9397-08002B2CF9AE}" pid="10" name="_dlc_DocIdItemGuid">
    <vt:lpwstr>ca268453-1d28-4c55-ac4d-06b84fc38af3</vt:lpwstr>
  </property>
  <property fmtid="{D5CDD505-2E9C-101B-9397-08002B2CF9AE}" pid="11" name="_dlc_DocIdUrl">
    <vt:lpwstr>https://sp.finance.gov.sk/lepsie-data/_layouts/15/DocIdRedir.aspx?ID=CTYWSUCD3UHA-699772915-33, CTYWSUCD3UHA-699772915-33</vt:lpwstr>
  </property>
</Properties>
</file>