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F9D" w:rsidRPr="00FD7F9D" w:rsidRDefault="00FD7F9D">
      <w:pPr>
        <w:rPr>
          <w:b/>
        </w:rPr>
      </w:pPr>
      <w:r w:rsidRPr="00FD7F9D">
        <w:rPr>
          <w:b/>
        </w:rPr>
        <w:t>Postavenie Úradu PVII v oblasti kritickej infraštruktúry:</w:t>
      </w:r>
    </w:p>
    <w:p w:rsidR="00FD7F9D" w:rsidRDefault="00FD7F9D"/>
    <w:p w:rsidR="00FD7F9D" w:rsidRDefault="00FD7F9D" w:rsidP="00FD7F9D">
      <w:r>
        <w:t xml:space="preserve">Základným pilierom pre ochranu kritickej infraštruktúry je </w:t>
      </w:r>
      <w:r>
        <w:t>Zákon č. 45/2011 Z. z.</w:t>
      </w:r>
      <w:r>
        <w:t xml:space="preserve"> </w:t>
      </w:r>
      <w:r>
        <w:t>Zákon o kritickej infraštruktúre</w:t>
      </w:r>
      <w:r>
        <w:t xml:space="preserve">. </w:t>
      </w:r>
    </w:p>
    <w:p w:rsidR="00FD7F9D" w:rsidRDefault="00FD7F9D"/>
    <w:p w:rsidR="00FD7F9D" w:rsidRDefault="00FD7F9D" w:rsidP="00FD7F9D">
      <w:r>
        <w:t>§ 1</w:t>
      </w:r>
    </w:p>
    <w:p w:rsidR="00FD7F9D" w:rsidRDefault="00FD7F9D" w:rsidP="00FD7F9D">
      <w:r>
        <w:t>Predmet zákona</w:t>
      </w:r>
    </w:p>
    <w:p w:rsidR="00FD7F9D" w:rsidRDefault="00FD7F9D" w:rsidP="00FD7F9D">
      <w:r>
        <w:t>(1) Tento zákon ustanovuje</w:t>
      </w:r>
    </w:p>
    <w:p w:rsidR="00FD7F9D" w:rsidRDefault="00FD7F9D" w:rsidP="00FD7F9D">
      <w:r>
        <w:t>a) organizáciu a pôsobnosť orgánov štátnej správy na úseku kritickej infraštruktúry,</w:t>
      </w:r>
    </w:p>
    <w:p w:rsidR="00FD7F9D" w:rsidRDefault="00FD7F9D" w:rsidP="00FD7F9D">
      <w:r>
        <w:t>b) postup pri určovaní prvku kritickej infraštruktúry,</w:t>
      </w:r>
    </w:p>
    <w:p w:rsidR="00FD7F9D" w:rsidRDefault="00FD7F9D" w:rsidP="00FD7F9D">
      <w:r>
        <w:t>c) povinnosti prevádzkovateľa pri ochrane prvku kritickej infraštruktúry a zodpovednosť za porušenie týchto povinností.</w:t>
      </w:r>
    </w:p>
    <w:p w:rsidR="005D3A41" w:rsidRDefault="00FD7F9D" w:rsidP="00FD7F9D">
      <w:r>
        <w:t>(2) Súčasťou kritickej infraštruktúry je obranná infraštruktúra podľa osobitného predpisu.</w:t>
      </w:r>
    </w:p>
    <w:p w:rsidR="00FD7F9D" w:rsidRDefault="00FD7F9D" w:rsidP="00FD7F9D">
      <w:r w:rsidRPr="00FD7F9D">
        <w:t xml:space="preserve"> </w:t>
      </w:r>
      <w:r w:rsidR="005D3A41">
        <w:t>(</w:t>
      </w:r>
      <w:r w:rsidRPr="00FD7F9D">
        <w:t>§ 26 a 27 zákona č. 319/2002 Z. z. o obrane Slovenskej republiky v znení zákona č. 330/2003 Z. z.</w:t>
      </w:r>
      <w:r>
        <w:t>)</w:t>
      </w:r>
    </w:p>
    <w:p w:rsidR="00FD7F9D" w:rsidRDefault="00FD7F9D" w:rsidP="00FD7F9D"/>
    <w:p w:rsidR="00FD7F9D" w:rsidRDefault="00FD7F9D" w:rsidP="00FD7F9D">
      <w:r>
        <w:t>Organizácia a pôsobnosť orgánov štátnej správy na úseku kritickej infraštruktúry</w:t>
      </w:r>
    </w:p>
    <w:p w:rsidR="005D3A41" w:rsidRDefault="005D3A41" w:rsidP="00FD7F9D"/>
    <w:p w:rsidR="00FD7F9D" w:rsidRDefault="00FD7F9D" w:rsidP="00FD7F9D">
      <w:r>
        <w:t>§ 3</w:t>
      </w:r>
    </w:p>
    <w:p w:rsidR="00FD7F9D" w:rsidRDefault="00FD7F9D" w:rsidP="00FD7F9D">
      <w:r>
        <w:t>Štátnu správu na úseku kritickej infraštruktúry vykonávajú</w:t>
      </w:r>
    </w:p>
    <w:p w:rsidR="00FD7F9D" w:rsidRDefault="00FD7F9D" w:rsidP="00FD7F9D">
      <w:r>
        <w:t>a) vláda Slovenskej republiky (ďalej len „vláda“),</w:t>
      </w:r>
    </w:p>
    <w:p w:rsidR="00FD7F9D" w:rsidRDefault="00FD7F9D" w:rsidP="00FD7F9D">
      <w:r>
        <w:t>b) Ministerstvo vnútra Slovenskej republiky (ďalej len „ministerstvo“),</w:t>
      </w:r>
    </w:p>
    <w:p w:rsidR="00FD7F9D" w:rsidRDefault="00FD7F9D" w:rsidP="00FD7F9D">
      <w:r>
        <w:t xml:space="preserve">c) Ministerstvo hospodárstva Slovenskej republiky, </w:t>
      </w:r>
      <w:r w:rsidRPr="0050733B">
        <w:rPr>
          <w:highlight w:val="yellow"/>
        </w:rPr>
        <w:t>Ministerstvo financií Slovenskej</w:t>
      </w:r>
      <w:r>
        <w:t xml:space="preserve"> republiky, Ministerstvo dopravy, výstavby a regionálneho rozvoja Slovenskej republiky, Ministerstvo životného prostredia Slovenskej republiky a Ministerstvo zdravotníctva Slovenskej republiky (ďalej len „ústredný orgán“).</w:t>
      </w:r>
    </w:p>
    <w:p w:rsidR="0050733B" w:rsidRDefault="0050733B" w:rsidP="0050733B"/>
    <w:p w:rsidR="0050733B" w:rsidRDefault="0050733B" w:rsidP="0050733B">
      <w:r>
        <w:t>P</w:t>
      </w:r>
      <w:r>
        <w:t>ríloha č. 3 k zákonu č. 45/2011 Z. z.</w:t>
      </w:r>
      <w:r>
        <w:t xml:space="preserve"> </w:t>
      </w:r>
    </w:p>
    <w:p w:rsidR="00FD7F9D" w:rsidRDefault="0050733B" w:rsidP="0050733B">
      <w:r>
        <w:t>SEKTORY V PÔSOBNOSTI ÚSTREDNÝCH ORGÁNOV</w:t>
      </w: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3960"/>
        <w:gridCol w:w="3172"/>
      </w:tblGrid>
      <w:tr w:rsidR="0050733B" w:rsidRPr="0050733B" w:rsidTr="0050733B">
        <w:trPr>
          <w:trHeight w:val="315"/>
        </w:trPr>
        <w:tc>
          <w:tcPr>
            <w:tcW w:w="194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Sektor</w:t>
            </w:r>
          </w:p>
        </w:tc>
        <w:tc>
          <w:tcPr>
            <w:tcW w:w="3960" w:type="dxa"/>
            <w:tcBorders>
              <w:top w:val="single" w:sz="8" w:space="0" w:color="808080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Podsektor</w:t>
            </w:r>
          </w:p>
        </w:tc>
        <w:tc>
          <w:tcPr>
            <w:tcW w:w="3172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Ústredný orgán</w:t>
            </w:r>
          </w:p>
        </w:tc>
      </w:tr>
      <w:tr w:rsidR="0050733B" w:rsidRPr="0050733B" w:rsidTr="0050733B">
        <w:trPr>
          <w:trHeight w:val="1079"/>
        </w:trPr>
        <w:tc>
          <w:tcPr>
            <w:tcW w:w="1940" w:type="dxa"/>
            <w:tcBorders>
              <w:top w:val="nil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1. Doprava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Cestná doprava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Letecká doprava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Vodná doprava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Železničná doprava</w:t>
            </w:r>
            <w:bookmarkStart w:id="0" w:name="_GoBack"/>
            <w:bookmarkEnd w:id="0"/>
          </w:p>
        </w:tc>
        <w:tc>
          <w:tcPr>
            <w:tcW w:w="3172" w:type="dxa"/>
            <w:tcBorders>
              <w:top w:val="nil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dopravy, výstavby a regionálneho rozvoja Slovenskej republiky</w:t>
            </w:r>
          </w:p>
        </w:tc>
      </w:tr>
      <w:tr w:rsidR="0050733B" w:rsidRPr="0050733B" w:rsidTr="0050733B">
        <w:trPr>
          <w:trHeight w:val="778"/>
        </w:trPr>
        <w:tc>
          <w:tcPr>
            <w:tcW w:w="1940" w:type="dxa"/>
            <w:tcBorders>
              <w:top w:val="nil"/>
              <w:left w:val="single" w:sz="8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2. Elektronické komunikácie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Satelitná komunikácia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Siete a služby pevných a mobilných elektronických komunikácií</w:t>
            </w:r>
          </w:p>
        </w:tc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dopravy, výstavby a regionálneho rozvoja Slovenskej republiky</w:t>
            </w:r>
          </w:p>
        </w:tc>
      </w:tr>
      <w:tr w:rsidR="0050733B" w:rsidRPr="0050733B" w:rsidTr="0050733B">
        <w:trPr>
          <w:trHeight w:val="70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3. Energetika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Baníctvo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Elektroenergetika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Plynárenstvo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Ropa a ropné produkty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hospodárstva Slovenskej republiky</w:t>
            </w:r>
          </w:p>
        </w:tc>
      </w:tr>
      <w:tr w:rsidR="0050733B" w:rsidRPr="0050733B" w:rsidTr="0050733B">
        <w:trPr>
          <w:trHeight w:val="603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  <w:t xml:space="preserve">4. Informačné a komunikačné </w:t>
            </w: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  <w:t>technológie</w:t>
            </w:r>
            <w:r w:rsidRPr="0050733B">
              <w:rPr>
                <w:rFonts w:ascii="Calibri" w:eastAsia="Times New Roman" w:hAnsi="Calibri" w:cs="Times New Roman"/>
                <w:color w:val="000000"/>
                <w:sz w:val="22"/>
                <w:szCs w:val="22"/>
                <w:highlight w:val="yellow"/>
                <w:lang w:eastAsia="sk-SK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  <w:t>Informačné systémy a siete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  <w:t>Internet 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sk-SK"/>
              </w:rPr>
              <w:t>Ministerstvo financií Slovenskej republiky</w:t>
            </w:r>
          </w:p>
        </w:tc>
      </w:tr>
      <w:tr w:rsidR="0050733B" w:rsidRPr="0050733B" w:rsidTr="0050733B">
        <w:trPr>
          <w:trHeight w:val="1202"/>
        </w:trPr>
        <w:tc>
          <w:tcPr>
            <w:tcW w:w="1940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5. Pošta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Poskytovanie poštových služieb, poštový platobný styk a obstarávateľská činnosť</w:t>
            </w: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dopravy, výstavby a regionálneho rozvoja Slovenskej republiky</w:t>
            </w:r>
          </w:p>
        </w:tc>
      </w:tr>
      <w:tr w:rsidR="0050733B" w:rsidRPr="0050733B" w:rsidTr="0050733B">
        <w:trPr>
          <w:trHeight w:val="70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6. Priemysel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auto" w:fill="auto"/>
            <w:vAlign w:val="center"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Farmaceutický priemysel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Hutnícky priemysel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Chemický priemysel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8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hospodárstva Slovenskej republiky</w:t>
            </w:r>
          </w:p>
        </w:tc>
      </w:tr>
      <w:tr w:rsidR="0050733B" w:rsidRPr="0050733B" w:rsidTr="0050733B">
        <w:trPr>
          <w:trHeight w:val="690"/>
        </w:trPr>
        <w:tc>
          <w:tcPr>
            <w:tcW w:w="1940" w:type="dxa"/>
            <w:tcBorders>
              <w:top w:val="single" w:sz="4" w:space="0" w:color="auto"/>
              <w:left w:val="single" w:sz="8" w:space="0" w:color="808080"/>
              <w:bottom w:val="single" w:sz="8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7. Voda a atmosféra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Meteorologická služba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Vodné stavby</w:t>
            </w:r>
          </w:p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Zabezpečovanie pitnej vody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životného prostredia Slovenskej republiky</w:t>
            </w:r>
          </w:p>
        </w:tc>
      </w:tr>
      <w:tr w:rsidR="0050733B" w:rsidRPr="0050733B" w:rsidTr="0050733B">
        <w:trPr>
          <w:trHeight w:val="548"/>
        </w:trPr>
        <w:tc>
          <w:tcPr>
            <w:tcW w:w="194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8. Zdravotníctvo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50733B" w:rsidRPr="0050733B" w:rsidRDefault="0050733B" w:rsidP="005073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0733B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Ministerstvo zdravotníctva Slovenskej republiky</w:t>
            </w:r>
          </w:p>
        </w:tc>
      </w:tr>
    </w:tbl>
    <w:p w:rsidR="00FD7F9D" w:rsidRDefault="00FD7F9D"/>
    <w:p w:rsidR="006069D9" w:rsidRDefault="0050733B">
      <w:r w:rsidRPr="006069D9">
        <w:rPr>
          <w:b/>
        </w:rPr>
        <w:t>ÚPVII v oblasti kritickej infraštruktúry môže vyko</w:t>
      </w:r>
      <w:r w:rsidR="00AB7A75" w:rsidRPr="006069D9">
        <w:rPr>
          <w:b/>
        </w:rPr>
        <w:t>návať štátnu správu pre oblasť i</w:t>
      </w:r>
      <w:r w:rsidRPr="006069D9">
        <w:rPr>
          <w:b/>
        </w:rPr>
        <w:t>nformačných a komunikačných technológií.</w:t>
      </w:r>
      <w:r w:rsidRPr="006069D9">
        <w:t xml:space="preserve"> </w:t>
      </w:r>
    </w:p>
    <w:p w:rsidR="005D3A41" w:rsidRDefault="0050733B">
      <w:pPr>
        <w:rPr>
          <w:b/>
        </w:rPr>
      </w:pPr>
      <w:r w:rsidRPr="00AB7A75">
        <w:rPr>
          <w:b/>
          <w:color w:val="4472C4" w:themeColor="accent1"/>
        </w:rPr>
        <w:t>Je potrebné zistiť, či z MF SR prešli na ÚPVII všetky kompetencie v oblasti informačných systémov</w:t>
      </w:r>
      <w:r w:rsidR="00AB7A75">
        <w:rPr>
          <w:b/>
          <w:color w:val="4472C4" w:themeColor="accent1"/>
        </w:rPr>
        <w:t>, ak áno tak vykonáva štátnu správu</w:t>
      </w:r>
      <w:r w:rsidRPr="00AB7A75">
        <w:rPr>
          <w:b/>
          <w:color w:val="4472C4" w:themeColor="accent1"/>
        </w:rPr>
        <w:t>.</w:t>
      </w:r>
      <w:r w:rsidR="00AB7A75">
        <w:rPr>
          <w:b/>
          <w:color w:val="4472C4" w:themeColor="accent1"/>
        </w:rPr>
        <w:t xml:space="preserve"> V prípade, že sa to ešte nerozhodlo  je v tom potrebné urobiť jasný záver. </w:t>
      </w:r>
      <w:r w:rsidRPr="00AB7A75">
        <w:rPr>
          <w:b/>
          <w:color w:val="4472C4" w:themeColor="accent1"/>
        </w:rPr>
        <w:t xml:space="preserve"> </w:t>
      </w:r>
    </w:p>
    <w:p w:rsidR="0050733B" w:rsidRDefault="0050733B">
      <w:pPr>
        <w:rPr>
          <w:b/>
        </w:rPr>
      </w:pPr>
    </w:p>
    <w:p w:rsidR="0050733B" w:rsidRDefault="0050733B" w:rsidP="0050733B">
      <w:r w:rsidRPr="0050733B">
        <w:t>V kompete</w:t>
      </w:r>
      <w:r>
        <w:t>n</w:t>
      </w:r>
      <w:r w:rsidRPr="0050733B">
        <w:t xml:space="preserve">čnom zákone </w:t>
      </w:r>
      <w:r w:rsidRPr="0050733B">
        <w:t>Zákon č. 575/2001 Z. z.</w:t>
      </w:r>
      <w:r>
        <w:t xml:space="preserve"> </w:t>
      </w:r>
      <w:r w:rsidRPr="0050733B">
        <w:t>Zákon o organizácii činnosti vlády a organizácii ústrednej štátnej správy</w:t>
      </w:r>
      <w:r>
        <w:t xml:space="preserve"> to nie je jednoznačne stanovené.</w:t>
      </w:r>
    </w:p>
    <w:p w:rsidR="0050733B" w:rsidRDefault="0050733B" w:rsidP="0050733B"/>
    <w:p w:rsidR="0050733B" w:rsidRDefault="0050733B" w:rsidP="0050733B">
      <w:r>
        <w:t>§ 34a</w:t>
      </w:r>
    </w:p>
    <w:p w:rsidR="0050733B" w:rsidRDefault="0050733B" w:rsidP="0050733B">
      <w:r>
        <w:t>Úrad podpredsedu vlády Slovenskej republiky pre investície a informatizáciu</w:t>
      </w:r>
    </w:p>
    <w:p w:rsidR="0050733B" w:rsidRDefault="0050733B" w:rsidP="0050733B"/>
    <w:p w:rsidR="0050733B" w:rsidRDefault="0050733B" w:rsidP="0050733B">
      <w:r>
        <w:t>(1) Úrad podpredsedu vlády Slovenskej republiky pre investície a informatizáciu je ústredným orgánom štátnej správy pre</w:t>
      </w:r>
    </w:p>
    <w:p w:rsidR="0050733B" w:rsidRDefault="0050733B" w:rsidP="0050733B">
      <w:pPr>
        <w:pStyle w:val="Odsekzoznamu"/>
        <w:numPr>
          <w:ilvl w:val="0"/>
          <w:numId w:val="1"/>
        </w:numPr>
      </w:pPr>
      <w:r>
        <w:t>riadenie, koordináciu a dohľad nad využívaním finančných prostriedkov z fondov Európskej únie,</w:t>
      </w:r>
    </w:p>
    <w:p w:rsidR="0050733B" w:rsidRDefault="0050733B" w:rsidP="0050733B">
      <w:pPr>
        <w:pStyle w:val="Odsekzoznamu"/>
        <w:numPr>
          <w:ilvl w:val="0"/>
          <w:numId w:val="1"/>
        </w:numPr>
      </w:pPr>
      <w:r>
        <w:t>oblasť informatizácie spoločnosti,</w:t>
      </w:r>
    </w:p>
    <w:p w:rsidR="0050733B" w:rsidRDefault="0050733B" w:rsidP="0050733B">
      <w:pPr>
        <w:pStyle w:val="Odsekzoznamu"/>
        <w:numPr>
          <w:ilvl w:val="0"/>
          <w:numId w:val="1"/>
        </w:numPr>
      </w:pPr>
      <w:r>
        <w:t>oblasť investícií.</w:t>
      </w:r>
    </w:p>
    <w:p w:rsidR="0050733B" w:rsidRDefault="0050733B" w:rsidP="0050733B"/>
    <w:p w:rsidR="00AB7A75" w:rsidRDefault="0050733B" w:rsidP="0050733B">
      <w:r>
        <w:t xml:space="preserve">(2) Úrad podpredsedu vlády Slovenskej republiky pre investície a informatizáciu v oblasti informatizácie spoločnosti zabezpečuje centrálne riadenie informatizácie spoločnosti a tvorbu politiky jednotného digitálneho trhu, rozhodovanie o využívaní finančných zdrojov vo verejnej správe pre informačné technológie, </w:t>
      </w:r>
      <w:r w:rsidRPr="00AB7A75">
        <w:rPr>
          <w:highlight w:val="yellow"/>
        </w:rPr>
        <w:t>centrálnu architektúru integrovaného informačného systému verejnej správy a koordináciu plnenia úloh v oblasti informatizácie spoločnosti.</w:t>
      </w:r>
      <w:r w:rsidR="00AB7A75">
        <w:t xml:space="preserve"> – </w:t>
      </w:r>
      <w:r w:rsidR="00AB7A75" w:rsidRPr="00AB7A75">
        <w:rPr>
          <w:b/>
          <w:color w:val="4472C4" w:themeColor="accent1"/>
        </w:rPr>
        <w:t>toto môže byť priamym napojením na kritickú infraštruktúru (v zmysle zákona o KI), ak nie je možné úplne vylúčiť, že integrovaný informačný systém verejnej správy nie je prvkom KI, čo asi v každom prípade bude.</w:t>
      </w:r>
      <w:r w:rsidR="00AB7A75">
        <w:rPr>
          <w:color w:val="4472C4" w:themeColor="accent1"/>
        </w:rPr>
        <w:t xml:space="preserve"> </w:t>
      </w:r>
      <w:r w:rsidR="00AB7A75" w:rsidRPr="00AB7A75">
        <w:rPr>
          <w:color w:val="4472C4" w:themeColor="accent1"/>
        </w:rPr>
        <w:t xml:space="preserve">  </w:t>
      </w:r>
    </w:p>
    <w:p w:rsidR="0050733B" w:rsidRDefault="0050733B" w:rsidP="0050733B"/>
    <w:p w:rsidR="0050733B" w:rsidRDefault="0050733B" w:rsidP="0050733B">
      <w:r>
        <w:t>(3) Úrad podpredsedu vlády Slovenskej republiky pre investície a informatizáciu v oblasti investícií zabezpečuje strategické plánovanie a strategické projektové riadenie vrátane vypracovania národného strategického investičného rámca, ako aj koordináciu investičných projektov určených vládou Slovenskej republiky.</w:t>
      </w:r>
    </w:p>
    <w:p w:rsidR="0050733B" w:rsidRDefault="0050733B" w:rsidP="0050733B"/>
    <w:p w:rsidR="0050733B" w:rsidRPr="0050733B" w:rsidRDefault="0050733B" w:rsidP="0050733B">
      <w:r>
        <w:t>(4) Úrad podpredsedu vlády Slovenskej republiky pre investície a informatizáciu plní aj úlohy spojené s odborným, organizačným a technickým zabezpečovaním činnosti podpredsedu vlády Slovenskej republiky pre investície a informatizáciu.</w:t>
      </w:r>
    </w:p>
    <w:p w:rsidR="0050733B" w:rsidRDefault="0050733B"/>
    <w:p w:rsidR="00AB7A75" w:rsidRDefault="00AB7A75"/>
    <w:p w:rsidR="00AB7A75" w:rsidRDefault="00AB7A75">
      <w:r>
        <w:t>Z pohľadu operačného programu OPII však sú definované nasledovné ciele relevantné ku KI</w:t>
      </w:r>
    </w:p>
    <w:p w:rsidR="00AB7A75" w:rsidRDefault="00AB7A75"/>
    <w:p w:rsidR="00AB7A75" w:rsidRPr="00AB7A75" w:rsidRDefault="00AB7A75" w:rsidP="00AB7A75">
      <w:pPr>
        <w:pStyle w:val="Default"/>
        <w:rPr>
          <w:rFonts w:asciiTheme="minorHAnsi" w:hAnsiTheme="minorHAnsi"/>
        </w:rPr>
      </w:pPr>
      <w:r w:rsidRPr="00AB7A75">
        <w:rPr>
          <w:rFonts w:asciiTheme="minorHAnsi" w:hAnsiTheme="minorHAnsi"/>
          <w:i/>
          <w:iCs/>
        </w:rPr>
        <w:t xml:space="preserve">ŠPECIFICKÝ CIEĽ 7.9: </w:t>
      </w:r>
      <w:r w:rsidRPr="00AB7A75">
        <w:rPr>
          <w:rFonts w:asciiTheme="minorHAnsi" w:hAnsiTheme="minorHAnsi"/>
          <w:b/>
          <w:bCs/>
          <w:i/>
          <w:iCs/>
        </w:rPr>
        <w:t xml:space="preserve">Zvýšenie kybernetickej bezpečnosti v spoločnosti </w:t>
      </w:r>
    </w:p>
    <w:p w:rsidR="00AB7A75" w:rsidRDefault="00AB7A75" w:rsidP="00AB7A75">
      <w:pPr>
        <w:pStyle w:val="Default"/>
        <w:rPr>
          <w:rFonts w:asciiTheme="minorHAnsi" w:hAnsiTheme="minorHAnsi" w:cs="Arial"/>
          <w:b/>
          <w:bCs/>
          <w:i/>
          <w:iCs/>
        </w:rPr>
      </w:pPr>
    </w:p>
    <w:p w:rsidR="00AB7A75" w:rsidRPr="00AB7A75" w:rsidRDefault="00AB7A75" w:rsidP="00AB7A75">
      <w:pPr>
        <w:pStyle w:val="Default"/>
        <w:rPr>
          <w:rFonts w:asciiTheme="minorHAnsi" w:hAnsiTheme="minorHAnsi" w:cs="Arial"/>
        </w:rPr>
      </w:pPr>
      <w:r w:rsidRPr="00AB7A75">
        <w:rPr>
          <w:rFonts w:asciiTheme="minorHAnsi" w:hAnsiTheme="minorHAnsi" w:cs="Arial"/>
          <w:b/>
          <w:bCs/>
          <w:i/>
          <w:iCs/>
        </w:rPr>
        <w:t xml:space="preserve">Opis východiskovej situácie </w:t>
      </w:r>
    </w:p>
    <w:p w:rsidR="00AB7A75" w:rsidRPr="00AB7A75" w:rsidRDefault="00AB7A75" w:rsidP="00AB7A75">
      <w:pPr>
        <w:pStyle w:val="Default"/>
        <w:rPr>
          <w:rFonts w:asciiTheme="minorHAnsi" w:hAnsiTheme="minorHAnsi"/>
        </w:rPr>
      </w:pPr>
      <w:r w:rsidRPr="00AB7A75">
        <w:rPr>
          <w:rFonts w:asciiTheme="minorHAnsi" w:hAnsiTheme="minorHAnsi"/>
        </w:rPr>
        <w:t xml:space="preserve">Základný rámec informačnej bezpečnosti Slovenskej republiky tvorí dokument „Národná stratégia pre informačnú bezpečnosť v SR“40. V podmienkach digitálneho a kybernetického priestoru SR sú zavádzané opatrenia najmä proti úniku informácií a ich neoprávnenému použitiu, narušeniu integrity údajov, porušeniu práv občanov na ochranu osobných údajov, a na ochranu pred poškodzovaním a zneužívaním informačných a komunikačných systémov, ako aj opatrenia na presadzovanie príslušných právnych noriem Slovenska a EÚ. </w:t>
      </w:r>
    </w:p>
    <w:p w:rsidR="00AB7A75" w:rsidRPr="00AB7A75" w:rsidRDefault="00AB7A75" w:rsidP="00AB7A75">
      <w:pPr>
        <w:pStyle w:val="Default"/>
        <w:rPr>
          <w:rFonts w:asciiTheme="minorHAnsi" w:hAnsiTheme="minorHAnsi"/>
        </w:rPr>
      </w:pPr>
    </w:p>
    <w:p w:rsidR="00AB7A75" w:rsidRPr="00AB7A75" w:rsidRDefault="00AB7A75" w:rsidP="00AB7A75">
      <w:pPr>
        <w:pStyle w:val="Default"/>
        <w:rPr>
          <w:rFonts w:asciiTheme="minorHAnsi" w:hAnsiTheme="minorHAnsi"/>
        </w:rPr>
      </w:pPr>
      <w:r w:rsidRPr="00AB7A75">
        <w:rPr>
          <w:rFonts w:asciiTheme="minorHAnsi" w:hAnsiTheme="minorHAnsi"/>
        </w:rPr>
        <w:t xml:space="preserve">Informačná a kybernetická bezpečnosť je dynamicky sa vyvíjajúcim odvetvím, ktoré musí neustále reagovať na nové výzvy. V súvislosti s narastajúcou občianskou aj podnikateľskou aktivitou v digitálnom priestore bude nutné postupovať s ohľadom na opatrenia obsiahnuté v Stratégii kybernetickej bezpečnosti EÚ prezentovanej vo februári 2013. </w:t>
      </w:r>
      <w:r w:rsidRPr="00AB7A75">
        <w:rPr>
          <w:rFonts w:asciiTheme="minorHAnsi" w:hAnsiTheme="minorHAnsi"/>
          <w:b/>
          <w:highlight w:val="yellow"/>
        </w:rPr>
        <w:t>Informačné systémy a siete vyvíjané alebo aktualizované v nasledujúcom období budú posudzované z pohľadu naplnenia zadefinovaných bezpečnostných cieľov a súladu s existujúcou aj budúcou legislatívou. Budú sa implementovať a vylepšovať opatrenia na riadenie bezpečnostných rizík, predovšetkým pre systémy verejnej správy patriace do kritickej infraštruktúry</w:t>
      </w:r>
      <w:r w:rsidRPr="00AB7A75">
        <w:rPr>
          <w:rFonts w:asciiTheme="minorHAnsi" w:hAnsiTheme="minorHAnsi"/>
          <w:highlight w:val="yellow"/>
        </w:rPr>
        <w:t>.</w:t>
      </w:r>
      <w:r w:rsidRPr="00AB7A75">
        <w:rPr>
          <w:rFonts w:asciiTheme="minorHAnsi" w:hAnsiTheme="minorHAnsi"/>
        </w:rPr>
        <w:t xml:space="preserve"> Zvýši sa transparentnosť informovania o bezpečnostných incidentoch jednotlivcov, ktorých osobné údaje boli stratené, ukradnuté alebo pozmenené. Celkovo sa zvýši dôvera v digitálny priestor a povedomie o spôsobe riešenia kybernetických útokov. Prispeje k tomu tiež nasadenie platformy pre zber údajov a opatrení a pre posielanie výstrah súvisiacich s kybernetickou bezpečnosťou. Táto platforma bude </w:t>
      </w:r>
      <w:proofErr w:type="spellStart"/>
      <w:r w:rsidRPr="00AB7A75">
        <w:rPr>
          <w:rFonts w:asciiTheme="minorHAnsi" w:hAnsiTheme="minorHAnsi"/>
        </w:rPr>
        <w:t>interoperabilná</w:t>
      </w:r>
      <w:proofErr w:type="spellEnd"/>
      <w:r w:rsidRPr="00AB7A75">
        <w:rPr>
          <w:rFonts w:asciiTheme="minorHAnsi" w:hAnsiTheme="minorHAnsi"/>
        </w:rPr>
        <w:t xml:space="preserve"> s európskym riešením a napojená na Európske centrum pre kybernetický zločin. </w:t>
      </w:r>
    </w:p>
    <w:p w:rsidR="00AB7A75" w:rsidRDefault="00AB7A75"/>
    <w:p w:rsidR="00FD7F9D" w:rsidRPr="00AB7A75" w:rsidRDefault="00AB7A75">
      <w:pPr>
        <w:rPr>
          <w:b/>
        </w:rPr>
      </w:pPr>
      <w:r w:rsidRPr="00AB7A75">
        <w:rPr>
          <w:b/>
        </w:rPr>
        <w:t>Investičná priorita 2c) bude napĺňaná prostredníctvom aktivít:</w:t>
      </w:r>
    </w:p>
    <w:p w:rsidR="00AB7A75" w:rsidRDefault="00AB7A75" w:rsidP="00AB7A75">
      <w:r>
        <w:t>ŠC 7.9</w:t>
      </w:r>
    </w:p>
    <w:p w:rsidR="00AB7A75" w:rsidRDefault="00AB7A75" w:rsidP="00AB7A75">
      <w:r>
        <w:t>P. Zabezpečenie komplexnej kybernetickej bezpečnosti v spoločnosti:</w:t>
      </w:r>
    </w:p>
    <w:p w:rsidR="00AB7A75" w:rsidRDefault="00AB7A75" w:rsidP="00AB7A75">
      <w:r>
        <w:t>─ Vytvorenie nástrojov na rozpoznanie, monitorovanie a riadenie bezpečnostných incidentov</w:t>
      </w:r>
    </w:p>
    <w:p w:rsidR="00AB7A75" w:rsidRPr="00AB7A75" w:rsidRDefault="00AB7A75" w:rsidP="00AB7A75">
      <w:pPr>
        <w:rPr>
          <w:b/>
        </w:rPr>
      </w:pPr>
      <w:r w:rsidRPr="00AB7A75">
        <w:rPr>
          <w:b/>
          <w:highlight w:val="yellow"/>
        </w:rPr>
        <w:t>─ Zabezpečenie kritickej infraštruktúry</w:t>
      </w:r>
    </w:p>
    <w:p w:rsidR="00AB7A75" w:rsidRDefault="00AB7A75" w:rsidP="00AB7A75">
      <w:r>
        <w:t>─ Zavádzanie európskej stratégie pre kybernetickú bezpečnosť</w:t>
      </w:r>
    </w:p>
    <w:p w:rsidR="00AB7A75" w:rsidRDefault="00AB7A75"/>
    <w:p w:rsidR="00AB7A75" w:rsidRPr="007A15FE" w:rsidRDefault="00AB7A75" w:rsidP="007A15FE">
      <w:pPr>
        <w:rPr>
          <w:b/>
        </w:rPr>
      </w:pPr>
      <w:r w:rsidRPr="007A15FE">
        <w:rPr>
          <w:b/>
          <w:color w:val="4472C4" w:themeColor="accent1"/>
        </w:rPr>
        <w:t>Z tohto pohľadu</w:t>
      </w:r>
      <w:r w:rsidR="007A15FE" w:rsidRPr="007A15FE">
        <w:rPr>
          <w:b/>
          <w:color w:val="4472C4" w:themeColor="accent1"/>
        </w:rPr>
        <w:t>,</w:t>
      </w:r>
      <w:r w:rsidRPr="007A15FE">
        <w:rPr>
          <w:b/>
          <w:color w:val="4472C4" w:themeColor="accent1"/>
        </w:rPr>
        <w:t xml:space="preserve"> nakoľko podľa kompetenčného zákona </w:t>
      </w:r>
      <w:r w:rsidR="007A15FE" w:rsidRPr="007A15FE">
        <w:rPr>
          <w:b/>
          <w:color w:val="4472C4" w:themeColor="accent1"/>
        </w:rPr>
        <w:t xml:space="preserve">je </w:t>
      </w:r>
      <w:r w:rsidR="007A15FE" w:rsidRPr="007A15FE">
        <w:rPr>
          <w:b/>
          <w:color w:val="4472C4" w:themeColor="accent1"/>
        </w:rPr>
        <w:t>Ú</w:t>
      </w:r>
      <w:r w:rsidR="007A15FE" w:rsidRPr="007A15FE">
        <w:rPr>
          <w:b/>
          <w:color w:val="4472C4" w:themeColor="accent1"/>
        </w:rPr>
        <w:t xml:space="preserve">PVII </w:t>
      </w:r>
      <w:r w:rsidR="007A15FE" w:rsidRPr="007A15FE">
        <w:rPr>
          <w:b/>
          <w:color w:val="4472C4" w:themeColor="accent1"/>
        </w:rPr>
        <w:t>je ústredným orgánom štátnej správy pre</w:t>
      </w:r>
      <w:r w:rsidR="007A15FE" w:rsidRPr="007A15FE">
        <w:rPr>
          <w:b/>
          <w:color w:val="4472C4" w:themeColor="accent1"/>
        </w:rPr>
        <w:t xml:space="preserve"> </w:t>
      </w:r>
      <w:r w:rsidR="007A15FE" w:rsidRPr="007A15FE">
        <w:rPr>
          <w:b/>
          <w:color w:val="4472C4" w:themeColor="accent1"/>
        </w:rPr>
        <w:t>riadenie, koordináciu a dohľad nad využívaním finančných prostriedkov z fondov Európskej únie,</w:t>
      </w:r>
      <w:r w:rsidR="007A15FE" w:rsidRPr="007A15FE">
        <w:rPr>
          <w:b/>
          <w:color w:val="4472C4" w:themeColor="accent1"/>
        </w:rPr>
        <w:t xml:space="preserve"> </w:t>
      </w:r>
      <w:r w:rsidR="007A15FE" w:rsidRPr="007A15FE">
        <w:rPr>
          <w:b/>
          <w:color w:val="4472C4" w:themeColor="accent1"/>
        </w:rPr>
        <w:t>oblasť informatizácie spoločnosti,</w:t>
      </w:r>
      <w:r w:rsidR="007A15FE" w:rsidRPr="007A15FE">
        <w:rPr>
          <w:b/>
          <w:color w:val="4472C4" w:themeColor="accent1"/>
        </w:rPr>
        <w:t xml:space="preserve"> oblasť investícií tak </w:t>
      </w:r>
      <w:r w:rsidR="007A15FE" w:rsidRPr="007A15FE">
        <w:rPr>
          <w:b/>
          <w:color w:val="4472C4" w:themeColor="accent1"/>
          <w:u w:val="single"/>
        </w:rPr>
        <w:t>úrad má definované určité postavenie aj pri ochrane kritickej infraštruktúry</w:t>
      </w:r>
      <w:r w:rsidR="007A15FE" w:rsidRPr="007A15FE">
        <w:rPr>
          <w:b/>
          <w:color w:val="4472C4" w:themeColor="accent1"/>
        </w:rPr>
        <w:t>.</w:t>
      </w:r>
      <w:r w:rsidR="007A15FE" w:rsidRPr="007A15FE">
        <w:rPr>
          <w:b/>
        </w:rPr>
        <w:t xml:space="preserve"> </w:t>
      </w:r>
    </w:p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AB7A75" w:rsidRDefault="00AB7A75"/>
    <w:p w:rsidR="007A15FE" w:rsidRPr="007A15FE" w:rsidRDefault="00AB7A75" w:rsidP="007A15FE">
      <w:pPr>
        <w:rPr>
          <w:b/>
        </w:rPr>
      </w:pPr>
      <w:r w:rsidRPr="007A15FE">
        <w:rPr>
          <w:b/>
        </w:rPr>
        <w:t>Úlohy týkajúce sa kritickej infraštruktúry z</w:t>
      </w:r>
      <w:r w:rsidR="007A15FE" w:rsidRPr="007A15FE">
        <w:rPr>
          <w:b/>
        </w:rPr>
        <w:t xml:space="preserve"> Akčného plánu </w:t>
      </w:r>
      <w:r w:rsidR="007A15FE" w:rsidRPr="007A15FE">
        <w:rPr>
          <w:b/>
        </w:rPr>
        <w:t>realizácie Koncepcie</w:t>
      </w:r>
    </w:p>
    <w:p w:rsidR="00AB7A75" w:rsidRPr="007A15FE" w:rsidRDefault="007A15FE" w:rsidP="007A15FE">
      <w:pPr>
        <w:rPr>
          <w:b/>
        </w:rPr>
      </w:pPr>
      <w:r w:rsidRPr="007A15FE">
        <w:rPr>
          <w:b/>
        </w:rPr>
        <w:t>kybernetickej bezpečnosti Slovenskej</w:t>
      </w:r>
      <w:r w:rsidRPr="007A15FE">
        <w:rPr>
          <w:b/>
        </w:rPr>
        <w:t xml:space="preserve"> </w:t>
      </w:r>
      <w:r w:rsidRPr="007A15FE">
        <w:rPr>
          <w:b/>
        </w:rPr>
        <w:t>republiky na roky 2015-2020</w:t>
      </w:r>
    </w:p>
    <w:p w:rsidR="00AB7A75" w:rsidRDefault="00AB7A75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2445"/>
        <w:gridCol w:w="2809"/>
        <w:gridCol w:w="926"/>
        <w:gridCol w:w="861"/>
        <w:gridCol w:w="1393"/>
      </w:tblGrid>
      <w:tr w:rsidR="004477A7" w:rsidRPr="00B172F3" w:rsidTr="00FD7F9D">
        <w:tc>
          <w:tcPr>
            <w:tcW w:w="628" w:type="dxa"/>
            <w:tcBorders>
              <w:top w:val="single" w:sz="4" w:space="0" w:color="365F91"/>
              <w:lef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2.4.</w:t>
            </w:r>
          </w:p>
        </w:tc>
        <w:tc>
          <w:tcPr>
            <w:tcW w:w="2445" w:type="dxa"/>
            <w:tcBorders>
              <w:top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Vydávať štandardy, metodiky a metodické usmernenia v oblasti kybernetickej bezpečnosti.</w:t>
            </w:r>
          </w:p>
        </w:tc>
        <w:tc>
          <w:tcPr>
            <w:tcW w:w="280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 pôsobnosti Komisie pre kybernetickú bezpečnosť NBÚ zriadiť pracovné skupiny pre:</w:t>
            </w:r>
          </w:p>
          <w:p w:rsidR="004477A7" w:rsidRPr="00B172F3" w:rsidRDefault="004477A7" w:rsidP="000F5E46">
            <w:pPr>
              <w:ind w:left="140" w:hanging="140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-</w:t>
            </w:r>
            <w:r w:rsidRPr="00B172F3">
              <w:rPr>
                <w:rFonts w:ascii="Times New Roman" w:hAnsi="Times New Roman" w:cs="Times New Roman"/>
                <w:sz w:val="14"/>
                <w:szCs w:val="14"/>
                <w:lang w:eastAsia="sk-SK"/>
              </w:rPr>
              <w:t>   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kybernetický zločin a počítačovú kriminalitu</w:t>
            </w:r>
          </w:p>
          <w:p w:rsidR="004477A7" w:rsidRPr="00B172F3" w:rsidRDefault="004477A7" w:rsidP="000F5E46">
            <w:pPr>
              <w:ind w:left="140" w:hanging="140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-</w:t>
            </w:r>
            <w:r w:rsidRPr="00B172F3">
              <w:rPr>
                <w:rFonts w:ascii="Times New Roman" w:hAnsi="Times New Roman" w:cs="Times New Roman"/>
                <w:sz w:val="14"/>
                <w:szCs w:val="14"/>
                <w:lang w:eastAsia="sk-SK"/>
              </w:rPr>
              <w:t>   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metodiku a štandardy</w:t>
            </w:r>
          </w:p>
          <w:p w:rsidR="004477A7" w:rsidRPr="00B172F3" w:rsidRDefault="004477A7" w:rsidP="000F5E46">
            <w:pPr>
              <w:ind w:left="140" w:hanging="140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-</w:t>
            </w:r>
            <w:r w:rsidRPr="00B172F3">
              <w:rPr>
                <w:rFonts w:ascii="Times New Roman" w:hAnsi="Times New Roman" w:cs="Times New Roman"/>
                <w:sz w:val="14"/>
                <w:szCs w:val="14"/>
                <w:lang w:eastAsia="sk-SK"/>
              </w:rPr>
              <w:t>   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terminológiu v oblasti KB.</w:t>
            </w:r>
          </w:p>
        </w:tc>
        <w:tc>
          <w:tcPr>
            <w:tcW w:w="9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86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04/2016</w:t>
            </w:r>
          </w:p>
        </w:tc>
      </w:tr>
      <w:tr w:rsidR="004477A7" w:rsidRPr="00B172F3" w:rsidTr="00FD7F9D">
        <w:tc>
          <w:tcPr>
            <w:tcW w:w="628" w:type="dxa"/>
            <w:vMerge w:val="restart"/>
            <w:tcBorders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45" w:type="dxa"/>
            <w:vMerge w:val="restart"/>
            <w:tcBorders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0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Vydávať štandardy, metodiky a metodické usmernenia.</w:t>
            </w:r>
          </w:p>
        </w:tc>
        <w:tc>
          <w:tcPr>
            <w:tcW w:w="9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86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ÚNMS SRVPA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SIS</w:t>
            </w:r>
          </w:p>
        </w:tc>
        <w:tc>
          <w:tcPr>
            <w:tcW w:w="139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priebežne</w:t>
            </w:r>
          </w:p>
        </w:tc>
      </w:tr>
      <w:tr w:rsidR="004477A7" w:rsidRPr="00B172F3" w:rsidTr="00FD7F9D">
        <w:tc>
          <w:tcPr>
            <w:tcW w:w="0" w:type="auto"/>
            <w:vMerge/>
            <w:tcBorders>
              <w:left w:val="single" w:sz="4" w:space="0" w:color="365F91"/>
              <w:bottom w:val="single" w:sz="4" w:space="0" w:color="365F91"/>
            </w:tcBorders>
            <w:vAlign w:val="center"/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0" w:type="auto"/>
            <w:vMerge/>
            <w:tcBorders>
              <w:bottom w:val="single" w:sz="4" w:space="0" w:color="365F91"/>
              <w:right w:val="single" w:sz="4" w:space="0" w:color="365F91"/>
            </w:tcBorders>
            <w:vAlign w:val="center"/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280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Zriadiť centrálny prístupový bod k normám a štandardom pre ochranu prvkov </w:t>
            </w:r>
            <w:r w:rsidRPr="004477A7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sk-SK"/>
              </w:rPr>
              <w:t>kritickej infraštruktúry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a zabezpečovať pravidelnú aktualizáciu jeho obsahu.</w:t>
            </w:r>
          </w:p>
        </w:tc>
        <w:tc>
          <w:tcPr>
            <w:tcW w:w="92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86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ÚNMS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DC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SNAS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NASES</w:t>
            </w:r>
          </w:p>
        </w:tc>
        <w:tc>
          <w:tcPr>
            <w:tcW w:w="1393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06/2017</w:t>
            </w:r>
          </w:p>
        </w:tc>
      </w:tr>
    </w:tbl>
    <w:p w:rsidR="00B2059F" w:rsidRDefault="00B2059F"/>
    <w:p w:rsidR="00FD7F9D" w:rsidRDefault="00FD7F9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308"/>
        <w:gridCol w:w="3894"/>
        <w:gridCol w:w="843"/>
        <w:gridCol w:w="1422"/>
      </w:tblGrid>
      <w:tr w:rsidR="004477A7" w:rsidRPr="00B172F3" w:rsidTr="000F5E46">
        <w:tc>
          <w:tcPr>
            <w:tcW w:w="817" w:type="dxa"/>
            <w:tcBorders>
              <w:top w:val="single" w:sz="4" w:space="0" w:color="365F91"/>
              <w:lef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Vytvoriť metodiku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hodnotenia rizík v kybernetickom priestore.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Vypracovať metodiku hodnotenia rizík pre oblasť kybernetickej bezpečnosti na národnej úrovni.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AKOB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proofErr w:type="spellStart"/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ZaA</w:t>
            </w:r>
            <w:proofErr w:type="spellEnd"/>
          </w:p>
        </w:tc>
      </w:tr>
      <w:tr w:rsidR="004477A7" w:rsidRPr="00B172F3" w:rsidTr="000F5E46">
        <w:tc>
          <w:tcPr>
            <w:tcW w:w="817" w:type="dxa"/>
            <w:tcBorders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Vytvoriť postupy pre analýzu stavu, vyhodnocovať ho a navrhovať bezpečnostné opatrenia na odstránenie/minimalizáciu rizík a možných krízových stavov v priestore štátu.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4477A7" w:rsidRPr="00B172F3" w:rsidTr="000F5E46">
        <w:tc>
          <w:tcPr>
            <w:tcW w:w="81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 rámci mechanizmu prevencie zaviesť jednotné opatrenia z úrovne vecne príslušných autorít.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Zaviesť opatrenia na minimalizáciu potenciálnych rizík a krízových stavov vo svojej pôsobnosti.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VPA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4477A7" w:rsidRPr="00B172F3" w:rsidTr="000F5E46">
        <w:tc>
          <w:tcPr>
            <w:tcW w:w="81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Vytvoriť procesy a mechanizmy pri koordinácii zabezpečovania ochrany významných informačných aktív štátu na národnej úrovni.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Vytvoriť metodiku pre spoločné postupy a podporu (</w:t>
            </w:r>
            <w:proofErr w:type="spellStart"/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hotline</w:t>
            </w:r>
            <w:proofErr w:type="spellEnd"/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) za účelom zabezpečenia prevencie a pripravenosti proti narušeniu informačných aktív </w:t>
            </w:r>
            <w:r w:rsidRPr="004477A7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sk-SK"/>
              </w:rPr>
              <w:t>kritickej infraštruktúry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MV SR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DC/CSIRT.SK</w:t>
            </w:r>
          </w:p>
        </w:tc>
      </w:tr>
      <w:tr w:rsidR="004477A7" w:rsidRPr="00B172F3" w:rsidTr="000F5E46">
        <w:tc>
          <w:tcPr>
            <w:tcW w:w="817" w:type="dxa"/>
            <w:tcBorders>
              <w:top w:val="single" w:sz="4" w:space="0" w:color="365F91"/>
              <w:lef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Vytvoriť a implementovať systém včasného varovania a reakcie na incidenty.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Implementovať jednotný systém včasného varovania, reakcie na incidenty a výmeny informácií podľa časového harmonogramu za účelom zníženia rizík vyplývajúcich z hrozieb informačných a komunikačných systémov a zabezpečovať jeho nepretržitú prevádzku v súlade s plnením úlohy „OAS02 Medzirezortného programu na ochranu </w:t>
            </w:r>
            <w:r w:rsidRPr="004477A7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sk-SK"/>
              </w:rPr>
              <w:t>kritickej infraštruktúry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v SR.“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NBÚ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DC/CSIRT.SK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VPA/JRI</w:t>
            </w:r>
          </w:p>
        </w:tc>
      </w:tr>
      <w:tr w:rsidR="004477A7" w:rsidRPr="00B172F3" w:rsidTr="000F5E46">
        <w:tc>
          <w:tcPr>
            <w:tcW w:w="817" w:type="dxa"/>
            <w:tcBorders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Zriadiť Národný portál pre kybernetickú bezpečnosť ako súčasť ÚPVS.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ÚV SR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NASES</w:t>
            </w:r>
          </w:p>
        </w:tc>
      </w:tr>
    </w:tbl>
    <w:p w:rsidR="004477A7" w:rsidRDefault="004477A7"/>
    <w:p w:rsidR="007A15FE" w:rsidRDefault="007A15FE"/>
    <w:p w:rsidR="007A15FE" w:rsidRDefault="007A15FE"/>
    <w:p w:rsidR="007A15FE" w:rsidRDefault="007A15FE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2545"/>
        <w:gridCol w:w="2554"/>
        <w:gridCol w:w="826"/>
        <w:gridCol w:w="1422"/>
        <w:gridCol w:w="1094"/>
      </w:tblGrid>
      <w:tr w:rsidR="004477A7" w:rsidRPr="00B172F3" w:rsidTr="000F5E46">
        <w:tc>
          <w:tcPr>
            <w:tcW w:w="817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3.7.</w:t>
            </w:r>
          </w:p>
        </w:tc>
        <w:tc>
          <w:tcPr>
            <w:tcW w:w="4394" w:type="dxa"/>
            <w:tcBorders>
              <w:top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Pravidelne vykonávať ohodnotenie úrovne bezpečnosti vo vládnych sieťach a kritických infraštruktúrach.</w:t>
            </w:r>
          </w:p>
        </w:tc>
        <w:tc>
          <w:tcPr>
            <w:tcW w:w="482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Vykonávať interné a externé penetračné testy informačných systémov vybraných organizácií verejnej správy, vrátane prvkov </w:t>
            </w:r>
            <w:r w:rsidRPr="000470D2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sk-SK"/>
              </w:rPr>
              <w:t>kritickej informačnej infraštruktúry</w:t>
            </w: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a ďalších významných informačných systémov.</w:t>
            </w:r>
          </w:p>
        </w:tc>
        <w:tc>
          <w:tcPr>
            <w:tcW w:w="141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ÚOŠS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DC/CSIRT.SK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proofErr w:type="spellStart"/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Prevádzko-vatelia</w:t>
            </w:r>
            <w:proofErr w:type="spellEnd"/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prvkov KII</w:t>
            </w:r>
          </w:p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SIS</w:t>
            </w:r>
          </w:p>
        </w:tc>
        <w:tc>
          <w:tcPr>
            <w:tcW w:w="127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7A7" w:rsidRPr="00B172F3" w:rsidRDefault="004477A7" w:rsidP="000F5E46">
            <w:pPr>
              <w:jc w:val="center"/>
              <w:rPr>
                <w:rFonts w:ascii="Times New Roman" w:hAnsi="Times New Roman" w:cs="Times New Roman"/>
                <w:lang w:eastAsia="sk-SK"/>
              </w:rPr>
            </w:pPr>
            <w:r w:rsidRPr="00B172F3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priebežne</w:t>
            </w:r>
          </w:p>
        </w:tc>
      </w:tr>
    </w:tbl>
    <w:p w:rsidR="004477A7" w:rsidRDefault="004477A7"/>
    <w:p w:rsidR="005610C0" w:rsidRPr="00B172F3" w:rsidRDefault="005610C0" w:rsidP="00FD7F9D">
      <w:pPr>
        <w:spacing w:before="120" w:after="120" w:line="264" w:lineRule="atLeast"/>
        <w:jc w:val="both"/>
        <w:rPr>
          <w:rFonts w:ascii="Times" w:hAnsi="Times" w:cs="Times New Roman"/>
          <w:color w:val="000000"/>
          <w:lang w:eastAsia="sk-SK"/>
        </w:rPr>
      </w:pPr>
      <w:r w:rsidRPr="00B172F3">
        <w:rPr>
          <w:rFonts w:ascii="Times New Roman" w:hAnsi="Times New Roman" w:cs="Times New Roman"/>
          <w:color w:val="000000"/>
          <w:lang w:eastAsia="sk-SK"/>
        </w:rPr>
        <w:t>Aktivity zamerané na vytváranie nástrojov na rozpoznanie, monitorovanie a riadenie bezpečnostných incidentov, zabezpečenie kritickej infraštruktúry a implementáciou opatrení európskej stratégie pre kybernetickú bezpečnosť, si však vyžadujú úpravu legislatívy a jej zosúladenie, čo návrh úloh primerane zohľadňuje.</w:t>
      </w:r>
    </w:p>
    <w:p w:rsidR="005610C0" w:rsidRPr="007A15FE" w:rsidRDefault="005610C0" w:rsidP="005610C0">
      <w:pPr>
        <w:spacing w:before="120" w:after="120" w:line="264" w:lineRule="atLeast"/>
        <w:ind w:firstLine="708"/>
        <w:jc w:val="both"/>
        <w:rPr>
          <w:rFonts w:ascii="Times" w:hAnsi="Times" w:cs="Times New Roman"/>
          <w:color w:val="000000"/>
          <w:highlight w:val="yellow"/>
          <w:lang w:eastAsia="sk-SK"/>
        </w:rPr>
      </w:pPr>
      <w:r w:rsidRPr="007A15FE">
        <w:rPr>
          <w:rFonts w:ascii="Times New Roman" w:hAnsi="Times New Roman" w:cs="Times New Roman"/>
          <w:color w:val="000000"/>
          <w:highlight w:val="yellow"/>
          <w:lang w:eastAsia="sk-SK"/>
        </w:rPr>
        <w:t>Predpokladanými zdrojmi financovania aktivít sú predovšetkým:</w:t>
      </w:r>
    </w:p>
    <w:p w:rsidR="005610C0" w:rsidRPr="00B172F3" w:rsidRDefault="005610C0" w:rsidP="005610C0">
      <w:pPr>
        <w:spacing w:before="60" w:after="60"/>
        <w:ind w:left="1015" w:hanging="329"/>
        <w:jc w:val="both"/>
        <w:rPr>
          <w:rFonts w:ascii="Times" w:hAnsi="Times" w:cs="Times New Roman"/>
          <w:color w:val="000000"/>
          <w:sz w:val="27"/>
          <w:szCs w:val="27"/>
          <w:lang w:eastAsia="sk-SK"/>
        </w:rPr>
      </w:pPr>
      <w:r w:rsidRPr="007A15FE">
        <w:rPr>
          <w:rFonts w:ascii="Symbol" w:hAnsi="Symbol" w:cs="Times New Roman"/>
          <w:color w:val="000000"/>
          <w:highlight w:val="yellow"/>
          <w:lang w:eastAsia="sk-SK"/>
        </w:rPr>
        <w:t></w:t>
      </w:r>
      <w:r w:rsidRPr="007A15FE">
        <w:rPr>
          <w:rFonts w:ascii="Times New Roman" w:hAnsi="Times New Roman" w:cs="Times New Roman"/>
          <w:color w:val="000000"/>
          <w:sz w:val="14"/>
          <w:szCs w:val="14"/>
          <w:highlight w:val="yellow"/>
          <w:lang w:eastAsia="sk-SK"/>
        </w:rPr>
        <w:t>       </w:t>
      </w:r>
      <w:r w:rsidRPr="007A15FE">
        <w:rPr>
          <w:rFonts w:ascii="Times New Roman" w:hAnsi="Times New Roman" w:cs="Times New Roman"/>
          <w:color w:val="000000"/>
          <w:highlight w:val="yellow"/>
          <w:lang w:eastAsia="sk-SK"/>
        </w:rPr>
        <w:t xml:space="preserve">Operačný program pre Integrovanú infraštruktúru - OPII v gescii </w:t>
      </w:r>
      <w:proofErr w:type="spellStart"/>
      <w:r w:rsidRPr="007A15FE">
        <w:rPr>
          <w:rFonts w:ascii="Times New Roman" w:hAnsi="Times New Roman" w:cs="Times New Roman"/>
          <w:color w:val="000000"/>
          <w:highlight w:val="yellow"/>
          <w:lang w:eastAsia="sk-SK"/>
        </w:rPr>
        <w:t>MDVaRR</w:t>
      </w:r>
      <w:proofErr w:type="spellEnd"/>
      <w:r w:rsidRPr="007A15FE">
        <w:rPr>
          <w:rFonts w:ascii="Times New Roman" w:hAnsi="Times New Roman" w:cs="Times New Roman"/>
          <w:color w:val="000000"/>
          <w:highlight w:val="yellow"/>
          <w:lang w:eastAsia="sk-SK"/>
        </w:rPr>
        <w:t xml:space="preserve"> SR,</w:t>
      </w:r>
    </w:p>
    <w:p w:rsidR="005610C0" w:rsidRPr="00B172F3" w:rsidRDefault="005610C0" w:rsidP="005610C0">
      <w:pPr>
        <w:spacing w:before="60" w:after="60"/>
        <w:ind w:left="1015" w:hanging="329"/>
        <w:jc w:val="both"/>
        <w:rPr>
          <w:rFonts w:ascii="Times" w:hAnsi="Times" w:cs="Times New Roman"/>
          <w:color w:val="000000"/>
          <w:sz w:val="27"/>
          <w:szCs w:val="27"/>
          <w:lang w:eastAsia="sk-SK"/>
        </w:rPr>
      </w:pPr>
      <w:r w:rsidRPr="00B172F3">
        <w:rPr>
          <w:rFonts w:ascii="Symbol" w:hAnsi="Symbol" w:cs="Times New Roman"/>
          <w:color w:val="000000"/>
          <w:lang w:eastAsia="sk-SK"/>
        </w:rPr>
        <w:t></w:t>
      </w:r>
      <w:r w:rsidRPr="00B172F3">
        <w:rPr>
          <w:rFonts w:ascii="Times New Roman" w:hAnsi="Times New Roman" w:cs="Times New Roman"/>
          <w:color w:val="000000"/>
          <w:sz w:val="14"/>
          <w:szCs w:val="14"/>
          <w:lang w:eastAsia="sk-SK"/>
        </w:rPr>
        <w:t>       </w:t>
      </w:r>
      <w:r w:rsidRPr="00B172F3">
        <w:rPr>
          <w:rFonts w:ascii="Times New Roman" w:hAnsi="Times New Roman" w:cs="Times New Roman"/>
          <w:color w:val="000000"/>
          <w:lang w:eastAsia="sk-SK"/>
        </w:rPr>
        <w:t>Operačný program Výskum a inovácie v gescii MŠVVaŠ SR,</w:t>
      </w:r>
    </w:p>
    <w:p w:rsidR="005610C0" w:rsidRPr="00B172F3" w:rsidRDefault="005610C0" w:rsidP="005610C0">
      <w:pPr>
        <w:spacing w:before="60" w:after="60"/>
        <w:ind w:left="1015" w:hanging="329"/>
        <w:jc w:val="both"/>
        <w:rPr>
          <w:rFonts w:ascii="Times" w:hAnsi="Times" w:cs="Times New Roman"/>
          <w:color w:val="000000"/>
          <w:sz w:val="27"/>
          <w:szCs w:val="27"/>
          <w:lang w:eastAsia="sk-SK"/>
        </w:rPr>
      </w:pPr>
      <w:r w:rsidRPr="00B172F3">
        <w:rPr>
          <w:rFonts w:ascii="Symbol" w:hAnsi="Symbol" w:cs="Times New Roman"/>
          <w:color w:val="000000"/>
          <w:lang w:eastAsia="sk-SK"/>
        </w:rPr>
        <w:t></w:t>
      </w:r>
      <w:r w:rsidRPr="00B172F3">
        <w:rPr>
          <w:rFonts w:ascii="Times New Roman" w:hAnsi="Times New Roman" w:cs="Times New Roman"/>
          <w:color w:val="000000"/>
          <w:sz w:val="14"/>
          <w:szCs w:val="14"/>
          <w:lang w:eastAsia="sk-SK"/>
        </w:rPr>
        <w:t>       </w:t>
      </w:r>
      <w:r w:rsidRPr="00B172F3">
        <w:rPr>
          <w:rFonts w:ascii="Times New Roman" w:hAnsi="Times New Roman" w:cs="Times New Roman"/>
          <w:color w:val="000000"/>
          <w:lang w:eastAsia="sk-SK"/>
        </w:rPr>
        <w:t>Operačný program Ľudské zdroje, prioritná os 1: vzdelávanie, v gescii MŠVVaŠ SR / MPSVaR SR,</w:t>
      </w:r>
    </w:p>
    <w:p w:rsidR="005610C0" w:rsidRPr="00B172F3" w:rsidRDefault="005610C0" w:rsidP="005610C0">
      <w:pPr>
        <w:spacing w:before="60" w:after="60"/>
        <w:ind w:left="1015" w:hanging="329"/>
        <w:jc w:val="both"/>
        <w:rPr>
          <w:rFonts w:ascii="Times" w:hAnsi="Times" w:cs="Times New Roman"/>
          <w:color w:val="000000"/>
          <w:sz w:val="27"/>
          <w:szCs w:val="27"/>
          <w:lang w:eastAsia="sk-SK"/>
        </w:rPr>
      </w:pPr>
      <w:r w:rsidRPr="00B172F3">
        <w:rPr>
          <w:rFonts w:ascii="Symbol" w:hAnsi="Symbol" w:cs="Times New Roman"/>
          <w:color w:val="000000"/>
          <w:lang w:eastAsia="sk-SK"/>
        </w:rPr>
        <w:t></w:t>
      </w:r>
      <w:r w:rsidRPr="00B172F3">
        <w:rPr>
          <w:rFonts w:ascii="Times New Roman" w:hAnsi="Times New Roman" w:cs="Times New Roman"/>
          <w:color w:val="000000"/>
          <w:sz w:val="14"/>
          <w:szCs w:val="14"/>
          <w:lang w:eastAsia="sk-SK"/>
        </w:rPr>
        <w:t>       </w:t>
      </w:r>
      <w:r w:rsidRPr="00B172F3">
        <w:rPr>
          <w:rFonts w:ascii="Times New Roman" w:hAnsi="Times New Roman" w:cs="Times New Roman"/>
          <w:color w:val="000000"/>
          <w:lang w:eastAsia="sk-SK"/>
        </w:rPr>
        <w:t>Medzirezortný program pre ochranu kritickej infraštruktúry v gescii MV SR,</w:t>
      </w:r>
    </w:p>
    <w:p w:rsidR="005610C0" w:rsidRPr="00B172F3" w:rsidRDefault="005610C0" w:rsidP="005610C0">
      <w:pPr>
        <w:spacing w:before="60" w:after="60"/>
        <w:ind w:left="1015" w:hanging="329"/>
        <w:jc w:val="both"/>
        <w:rPr>
          <w:rFonts w:ascii="Times" w:hAnsi="Times" w:cs="Times New Roman"/>
          <w:color w:val="000000"/>
          <w:sz w:val="27"/>
          <w:szCs w:val="27"/>
          <w:lang w:eastAsia="sk-SK"/>
        </w:rPr>
      </w:pPr>
      <w:r w:rsidRPr="00B172F3">
        <w:rPr>
          <w:rFonts w:ascii="Symbol" w:hAnsi="Symbol" w:cs="Times New Roman"/>
          <w:color w:val="000000"/>
          <w:lang w:eastAsia="sk-SK"/>
        </w:rPr>
        <w:t></w:t>
      </w:r>
      <w:r w:rsidRPr="00B172F3">
        <w:rPr>
          <w:rFonts w:ascii="Times New Roman" w:hAnsi="Times New Roman" w:cs="Times New Roman"/>
          <w:color w:val="000000"/>
          <w:sz w:val="14"/>
          <w:szCs w:val="14"/>
          <w:lang w:eastAsia="sk-SK"/>
        </w:rPr>
        <w:t>       </w:t>
      </w:r>
      <w:r w:rsidRPr="00B172F3">
        <w:rPr>
          <w:rFonts w:ascii="Times New Roman" w:hAnsi="Times New Roman" w:cs="Times New Roman"/>
          <w:color w:val="000000"/>
          <w:lang w:eastAsia="sk-SK"/>
        </w:rPr>
        <w:t>Rozpočtová kapitola NBÚ a rozpočtové kapitoly dotknutých subjektov.</w:t>
      </w:r>
    </w:p>
    <w:p w:rsidR="007A15FE" w:rsidRDefault="005610C0" w:rsidP="007A15FE">
      <w:pPr>
        <w:spacing w:before="240" w:after="60" w:line="264" w:lineRule="atLeast"/>
        <w:ind w:firstLine="357"/>
        <w:jc w:val="both"/>
        <w:rPr>
          <w:rFonts w:ascii="Times New Roman" w:hAnsi="Times New Roman" w:cs="Times New Roman"/>
          <w:color w:val="000000"/>
          <w:lang w:eastAsia="sk-SK"/>
        </w:rPr>
      </w:pPr>
      <w:r w:rsidRPr="00B172F3">
        <w:rPr>
          <w:rFonts w:ascii="Times New Roman" w:hAnsi="Times New Roman" w:cs="Times New Roman"/>
          <w:color w:val="000000"/>
          <w:lang w:eastAsia="sk-SK"/>
        </w:rPr>
        <w:t>Ďalším uvažovaným zdrojom financovania je nadrezortný/medzirezortný program pre Ochranu kybernetického priestoru Slovenskej republiky pod gesciou Národného bezpečnostného úradu. Vypracovanie návrhu programu je zahrnuté do tohto materiálu v úlohe 1.6. Časový rámec čerpania z programu sa predpokladá až v rokoch 2017-2020.</w:t>
      </w:r>
    </w:p>
    <w:p w:rsidR="007A15FE" w:rsidRDefault="007A15FE" w:rsidP="007A15FE">
      <w:pPr>
        <w:rPr>
          <w:b/>
          <w:color w:val="4472C4" w:themeColor="accent1"/>
        </w:rPr>
      </w:pPr>
    </w:p>
    <w:p w:rsidR="007A15FE" w:rsidRDefault="007A15FE" w:rsidP="007A15FE">
      <w:pPr>
        <w:rPr>
          <w:b/>
          <w:color w:val="4472C4" w:themeColor="accent1"/>
        </w:rPr>
      </w:pPr>
      <w:r>
        <w:rPr>
          <w:b/>
          <w:color w:val="4472C4" w:themeColor="accent1"/>
        </w:rPr>
        <w:t xml:space="preserve">Ak </w:t>
      </w:r>
      <w:r w:rsidRPr="00AB7A75">
        <w:rPr>
          <w:b/>
          <w:color w:val="4472C4" w:themeColor="accent1"/>
        </w:rPr>
        <w:t>z MF SR prešli na ÚPVII všetky kompetencie v oblasti informačných systémov.</w:t>
      </w:r>
      <w:r>
        <w:rPr>
          <w:b/>
          <w:color w:val="4472C4" w:themeColor="accent1"/>
        </w:rPr>
        <w:t xml:space="preserve"> V prípade, že áno bude plniť pre povinnosti ÚOŠS pre konkrétne prvky KI.  </w:t>
      </w:r>
      <w:r>
        <w:rPr>
          <w:b/>
          <w:color w:val="4472C4" w:themeColor="accent1"/>
        </w:rPr>
        <w:t xml:space="preserve"> </w:t>
      </w:r>
    </w:p>
    <w:p w:rsidR="007A15FE" w:rsidRDefault="007A15FE" w:rsidP="007A15FE">
      <w:pPr>
        <w:rPr>
          <w:b/>
        </w:rPr>
      </w:pPr>
      <w:r>
        <w:rPr>
          <w:b/>
          <w:color w:val="4472C4" w:themeColor="accent1"/>
        </w:rPr>
        <w:t xml:space="preserve">V prípade, že sa to ešte nerozhodlo  je v tom potrebné urobiť jasný záver. </w:t>
      </w:r>
      <w:r w:rsidRPr="00AB7A75">
        <w:rPr>
          <w:b/>
          <w:color w:val="4472C4" w:themeColor="accent1"/>
        </w:rPr>
        <w:t xml:space="preserve"> </w:t>
      </w:r>
    </w:p>
    <w:p w:rsidR="005610C0" w:rsidRDefault="005610C0"/>
    <w:sectPr w:rsidR="00561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05BE"/>
    <w:multiLevelType w:val="hybridMultilevel"/>
    <w:tmpl w:val="0E345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B33CC"/>
    <w:multiLevelType w:val="hybridMultilevel"/>
    <w:tmpl w:val="BE58E0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A7"/>
    <w:rsid w:val="000470D2"/>
    <w:rsid w:val="004477A7"/>
    <w:rsid w:val="00484AD4"/>
    <w:rsid w:val="0050733B"/>
    <w:rsid w:val="005610C0"/>
    <w:rsid w:val="005C28FD"/>
    <w:rsid w:val="005D3A41"/>
    <w:rsid w:val="006069D9"/>
    <w:rsid w:val="007A15FE"/>
    <w:rsid w:val="00AB7A75"/>
    <w:rsid w:val="00B2059F"/>
    <w:rsid w:val="00F1255A"/>
    <w:rsid w:val="00FD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0E9D"/>
  <w15:chartTrackingRefBased/>
  <w15:docId w15:val="{235660E8-2E92-4445-90D9-7A8A0ADB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477A7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5073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basedOn w:val="Normlny"/>
    <w:uiPriority w:val="34"/>
    <w:qFormat/>
    <w:rsid w:val="0050733B"/>
    <w:pPr>
      <w:ind w:left="720"/>
      <w:contextualSpacing/>
    </w:pPr>
  </w:style>
  <w:style w:type="paragraph" w:customStyle="1" w:styleId="Default">
    <w:name w:val="Default"/>
    <w:rsid w:val="00AB7A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CTYWSUCD3UHA-2087524665-187</_dlc_DocId>
    <_dlc_DocIdUrl xmlns="af457a4c-de28-4d38-bda9-e56a61b168cd">
      <Url>https://sp1.prod.metais.local/kyberneticka-bezpecnost/_layouts/15/DocIdRedir.aspx?ID=CTYWSUCD3UHA-2087524665-187</Url>
      <Description>CTYWSUCD3UHA-2087524665-187</Description>
    </_dlc_DocIdUrl>
  </documentManagement>
</p:properties>
</file>

<file path=customXml/itemProps1.xml><?xml version="1.0" encoding="utf-8"?>
<ds:datastoreItem xmlns:ds="http://schemas.openxmlformats.org/officeDocument/2006/customXml" ds:itemID="{84D51B67-151D-46F1-95FD-459CD1B98BB0}"/>
</file>

<file path=customXml/itemProps2.xml><?xml version="1.0" encoding="utf-8"?>
<ds:datastoreItem xmlns:ds="http://schemas.openxmlformats.org/officeDocument/2006/customXml" ds:itemID="{8E98D556-62DE-40FC-94E8-5DA471F3EB79}"/>
</file>

<file path=customXml/itemProps3.xml><?xml version="1.0" encoding="utf-8"?>
<ds:datastoreItem xmlns:ds="http://schemas.openxmlformats.org/officeDocument/2006/customXml" ds:itemID="{9F630D27-9817-4FF8-8F86-B91A47ED1F9F}"/>
</file>

<file path=customXml/itemProps4.xml><?xml version="1.0" encoding="utf-8"?>
<ds:datastoreItem xmlns:ds="http://schemas.openxmlformats.org/officeDocument/2006/customXml" ds:itemID="{83217042-D15F-4360-9398-BEADA1FFA5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Strucny sumar</dc:title>
  <dc:subject/>
  <dc:creator>Richard Kiškováč</dc:creator>
  <cp:keywords/>
  <dc:description/>
  <cp:lastModifiedBy>Richard Kiškováč</cp:lastModifiedBy>
  <cp:revision>3</cp:revision>
  <dcterms:created xsi:type="dcterms:W3CDTF">2017-08-04T15:17:00Z</dcterms:created>
  <dcterms:modified xsi:type="dcterms:W3CDTF">2017-08-04T15:18:00Z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9688e165-5c7c-4bac-9333-9bcb0cbe0811</vt:lpwstr>
  </property>
</Properties>
</file>