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D16F8">
              <w:rPr>
                <w:rFonts w:cs="Arial"/>
              </w:rPr>
              <w:t>9</w:t>
            </w:r>
            <w:r>
              <w:rPr>
                <w:rFonts w:cs="Arial"/>
              </w:rPr>
              <w:t>.</w:t>
            </w:r>
            <w:r w:rsidR="00FD16F8">
              <w:rPr>
                <w:rFonts w:cs="Arial"/>
              </w:rPr>
              <w:t>7</w:t>
            </w:r>
            <w:r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Urad podpredsedu vlády SR pre investície a informatizáciu</w:t>
            </w:r>
            <w:r w:rsidR="00643721">
              <w:rPr>
                <w:rFonts w:cs="Arial"/>
              </w:rPr>
              <w:br/>
            </w:r>
            <w:r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</w:t>
            </w:r>
            <w:r w:rsidRPr="00D90E1D">
              <w:rPr>
                <w:rFonts w:ascii="Arial" w:hAnsi="Arial" w:cs="Arial"/>
                <w:sz w:val="20"/>
                <w:szCs w:val="20"/>
              </w:rPr>
              <w:t>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bardy: ako hodnotite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lubora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?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tu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teraz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nie je ... :)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p.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machel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dobre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robi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povesal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profesionalny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anarchista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strategia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nases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presla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mpk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splnena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z OGP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planu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v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termine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teraz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caka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Vlade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neho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vychadzat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tieto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PS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vnima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UPVII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dobry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priklad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participativnej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tvorby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politik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vid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novy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statut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dohodli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jurajovi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poslem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poznamky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spravil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zapis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novi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clenovia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prosime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prestudovat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strategicka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priorita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menezment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pouzivat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MetaIS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ulozisko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=&gt;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vsetci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prekontrolovat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pristup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relevatneho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spejsu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lepsie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aktualne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tam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marerialy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nejaky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zamer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1) check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menezment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2)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zamer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lepsie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otvorene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gdpr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,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predstavenie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clenov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spravodlivost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prebieha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velke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upratovanie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dat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>-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UPVII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pripravil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akcny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plan, K9.4 ho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dostane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 2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tyzdne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zapracovani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pripomienok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ITAS)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uskutocnil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idea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hack: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mal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dalsi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hackaton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temu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otvorenych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?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najst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ukazat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dalo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bol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dispozicii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nejaky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predbezne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jesen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tuchyna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ohladom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termin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bolo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vhodne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spojit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zabehnutym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DanubeHack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kedy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buse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Kataster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OD?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odpoved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komplikovane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hlavna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dokument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strategicka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priorita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otvorene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dokoncit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rovnaka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struktura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forma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dokument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menezment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v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sulade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 "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nie je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tajne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zverejnene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",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vznikla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datova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ekonomika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architektura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jasne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pomenovat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riesit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centralne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lokalne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kombinovat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NASES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centralne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sluzby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data.gov.sk,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transformacne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sluzby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baze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COMSODE -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treba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nadviazat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licencovanie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anonymizacia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osob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nie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dovodom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nezverejnenia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musi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zverejnit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anonymizovane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zoznam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institucie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baze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OGP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planu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udrzatelnost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financovanie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harmonogram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sfinalizovat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septembra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ciele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viac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menej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uzavrete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hlavne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treba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premyslat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ciele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dosiahnut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formulacia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, ...)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1)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zlepsit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postavenie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2)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zlepsit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dostupnost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3)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zvysit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pocet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institucii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ktore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publikuju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... na *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vsetky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*,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4)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zvysit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kvalitu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publikovanych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100%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aspjn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3*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5)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umoznit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pouzitie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pravne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ucely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6)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zvysit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pocet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publikujucich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samosprav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suvisi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tzv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. "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publikacnym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minimom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"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tiez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DCOM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zastupca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je v K9.4)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7)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zvysit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kvalitu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publikovanych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samospravy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8)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zlepsit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zapojenie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SR v DSM: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dafasety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v eng,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stiahnuti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datasetov,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aplikacii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,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lastRenderedPageBreak/>
              <w:t xml:space="preserve"> 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metrika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poctu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stiahnuti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datasetov si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asi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este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vyziada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viac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prace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premyslania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upresnenia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clenov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spravy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doplnit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zoznamu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organizacii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prihlasit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uloham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vsetkych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komentovat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SWOT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analyzu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este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rozpracuvat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zvazovat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alternativy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alternativam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preferovane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publikovanie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"open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default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",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umoznil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vznik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dig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dat.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firiem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vytvorit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komunity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?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alternativa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dopytove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projekty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p.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machal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autorky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aktualizovat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netreba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teda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pouzijeme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CC0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alebo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CC-BY,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staci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len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gestor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(UPVII)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povie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tieto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licencie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governance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vztahu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procesom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?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sposob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pristupu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vyber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90E1D">
              <w:rPr>
                <w:rFonts w:ascii="Arial" w:hAnsi="Arial" w:cs="Arial"/>
                <w:sz w:val="20"/>
                <w:szCs w:val="20"/>
              </w:rPr>
              <w:t>podporovanyxch,formatov</w:t>
            </w:r>
            <w:proofErr w:type="spellEnd"/>
            <w:proofErr w:type="gramEnd"/>
            <w:r w:rsidRPr="00D90E1D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miera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centralizacie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vyber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licencnych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modwlov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ochrana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90E1D">
              <w:rPr>
                <w:rFonts w:ascii="Arial" w:hAnsi="Arial" w:cs="Arial"/>
                <w:sz w:val="20"/>
                <w:szCs w:val="20"/>
              </w:rPr>
              <w:t>osobnych,udajov</w:t>
            </w:r>
            <w:proofErr w:type="spellEnd"/>
            <w:proofErr w:type="gram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sposob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zabezpexenia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doveryhodnosti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zverejnenych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nieco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chyba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nahlasit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neskor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debatit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alternativy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CSRU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mal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generovat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 z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financovanie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v 21.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storoci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mala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neoddelitelna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sucast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informatizacie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eGov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poslat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linku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pracovny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priestor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K9.4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vsetkym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clenom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minamalne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jeden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novy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nema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tuchyna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ujasnensie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referencne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vs.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otvorene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malo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sucastou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dokumentu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riesit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vztah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ich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priestorovej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dimenzie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tuchyna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pridana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hodnota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uvazuje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sledovani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investicii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vs.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vynosov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? "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hodnota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peniaze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jedna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OGP je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analyza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trhovej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hodnoty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 v SR</w:t>
            </w:r>
          </w:p>
          <w:p w:rsidR="00560A34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andrejkovic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analyza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povedat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ze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oplati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investicia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35M€ do NASES OD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infrastruktury</w:t>
            </w:r>
            <w:proofErr w:type="spellEnd"/>
          </w:p>
          <w:p w:rsidR="00D90E1D" w:rsidRPr="0013560D" w:rsidRDefault="00D90E1D" w:rsidP="00D90E1D">
            <w:pPr>
              <w:rPr>
                <w:rFonts w:cs="Arial"/>
                <w:sz w:val="18"/>
                <w:szCs w:val="18"/>
                <w:lang w:val="sk-SK"/>
              </w:rPr>
            </w:pPr>
            <w:bookmarkStart w:id="1" w:name="_GoBack"/>
            <w:bookmarkEnd w:id="1"/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 Peter </w:t>
      </w:r>
      <w:proofErr w:type="spellStart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Ha</w:t>
      </w:r>
      <w:r w:rsidR="00D90E1D">
        <w:rPr>
          <w:rFonts w:ascii="Arial" w:hAnsi="Arial" w:cs="Arial"/>
          <w:b w:val="0"/>
          <w:sz w:val="20"/>
          <w:szCs w:val="20"/>
          <w:lang w:val="sk-SK"/>
        </w:rPr>
        <w:t>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, 19.07.2017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EF0060">
        <w:rPr>
          <w:rFonts w:ascii="Arial" w:hAnsi="Arial" w:cs="Arial"/>
          <w:b w:val="0"/>
          <w:sz w:val="20"/>
          <w:szCs w:val="20"/>
        </w:rPr>
        <w:t>2</w:t>
      </w:r>
      <w:r w:rsidR="00D90E1D">
        <w:rPr>
          <w:rFonts w:ascii="Arial" w:hAnsi="Arial" w:cs="Arial"/>
          <w:b w:val="0"/>
          <w:sz w:val="20"/>
          <w:szCs w:val="20"/>
        </w:rPr>
        <w:t>6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07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41F" w:rsidRDefault="003B541F">
      <w:r>
        <w:separator/>
      </w:r>
    </w:p>
  </w:endnote>
  <w:endnote w:type="continuationSeparator" w:id="0">
    <w:p w:rsidR="003B541F" w:rsidRDefault="003B541F">
      <w:r>
        <w:continuationSeparator/>
      </w:r>
    </w:p>
  </w:endnote>
  <w:endnote w:type="continuationNotice" w:id="1">
    <w:p w:rsidR="003B541F" w:rsidRDefault="003B5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90E1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90E1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41F" w:rsidRDefault="003B541F">
      <w:r>
        <w:separator/>
      </w:r>
    </w:p>
  </w:footnote>
  <w:footnote w:type="continuationSeparator" w:id="0">
    <w:p w:rsidR="003B541F" w:rsidRDefault="003B541F">
      <w:r>
        <w:continuationSeparator/>
      </w:r>
    </w:p>
  </w:footnote>
  <w:footnote w:type="continuationNotice" w:id="1">
    <w:p w:rsidR="003B541F" w:rsidRDefault="003B54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4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9"/>
  </w:num>
  <w:num w:numId="5">
    <w:abstractNumId w:val="14"/>
  </w:num>
  <w:num w:numId="6">
    <w:abstractNumId w:val="6"/>
  </w:num>
  <w:num w:numId="7">
    <w:abstractNumId w:val="13"/>
  </w:num>
  <w:num w:numId="8">
    <w:abstractNumId w:val="13"/>
  </w:num>
  <w:num w:numId="9">
    <w:abstractNumId w:val="7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11"/>
  </w:num>
  <w:num w:numId="15">
    <w:abstractNumId w:val="5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4BEF"/>
    <w:rsid w:val="002D61D2"/>
    <w:rsid w:val="002E2BC7"/>
    <w:rsid w:val="002E2D65"/>
    <w:rsid w:val="00311E1D"/>
    <w:rsid w:val="003139FC"/>
    <w:rsid w:val="00316501"/>
    <w:rsid w:val="00321BFF"/>
    <w:rsid w:val="00345DDC"/>
    <w:rsid w:val="00373AF8"/>
    <w:rsid w:val="00374645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429C"/>
    <w:rsid w:val="00856A18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70C6A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0FD85F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CTYWSUCD3UHA-699772915-72</_dlc_DocId>
    <_dlc_DocIdUrl xmlns="af457a4c-de28-4d38-bda9-e56a61b168cd">
      <Url>https://sp1.prod.metais.local/lepsie-data/_layouts/15/DocIdRedir.aspx?ID=CTYWSUCD3UHA-699772915-72</Url>
      <Description>CTYWSUCD3UHA-699772915-72</Description>
    </_dlc_DocIdUrl>
  </documentManagement>
</p:properties>
</file>

<file path=customXml/itemProps1.xml><?xml version="1.0" encoding="utf-8"?>
<ds:datastoreItem xmlns:ds="http://schemas.openxmlformats.org/officeDocument/2006/customXml" ds:itemID="{7085DD0F-E7C0-4D9A-8C6C-B9B2577A5278}"/>
</file>

<file path=customXml/itemProps2.xml><?xml version="1.0" encoding="utf-8"?>
<ds:datastoreItem xmlns:ds="http://schemas.openxmlformats.org/officeDocument/2006/customXml" ds:itemID="{FD702A82-7E9D-4DF3-9070-9847111030C5}"/>
</file>

<file path=customXml/itemProps3.xml><?xml version="1.0" encoding="utf-8"?>
<ds:datastoreItem xmlns:ds="http://schemas.openxmlformats.org/officeDocument/2006/customXml" ds:itemID="{46D7E2F9-3766-41E3-AB66-89493E77A7FF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83D3547F-EE00-4206-854E-F74208F1B288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6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4520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2017-07-26T11:21:00Z</dcterms:created>
  <dcterms:modified xsi:type="dcterms:W3CDTF">2017-07-26T11:27:00Z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725e75db-22f2-48cd-9140-40115d81bdbe</vt:lpwstr>
  </property>
</Properties>
</file>