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32E02" w14:textId="77777777" w:rsidR="0084432A" w:rsidRPr="00AD0E96" w:rsidRDefault="0084432A" w:rsidP="00CC3F03">
      <w:pPr>
        <w:pStyle w:val="Heading1"/>
        <w:jc w:val="left"/>
        <w:rPr>
          <w:lang w:val="en-GB"/>
        </w:rPr>
      </w:pPr>
      <w:bookmarkStart w:id="0" w:name="_GoBack"/>
      <w:bookmarkEnd w:id="0"/>
    </w:p>
    <w:p w14:paraId="6618FD62" w14:textId="77777777" w:rsidR="0084432A" w:rsidRPr="00AD0E96" w:rsidRDefault="0084432A" w:rsidP="00CC3F03">
      <w:pPr>
        <w:pStyle w:val="Heading1"/>
        <w:jc w:val="left"/>
        <w:rPr>
          <w:lang w:val="en-GB"/>
        </w:rPr>
      </w:pPr>
    </w:p>
    <w:p w14:paraId="67BD7FB3" w14:textId="77777777" w:rsidR="0084432A" w:rsidRPr="00AD0E96" w:rsidRDefault="0084432A" w:rsidP="00CC3F03">
      <w:pPr>
        <w:pStyle w:val="Heading1"/>
        <w:jc w:val="left"/>
        <w:rPr>
          <w:lang w:val="en-GB"/>
        </w:rPr>
      </w:pPr>
    </w:p>
    <w:p w14:paraId="6BD8F3D4" w14:textId="77777777" w:rsidR="00CC3F03" w:rsidRPr="00E205A1" w:rsidRDefault="00922777" w:rsidP="00CC3F03">
      <w:pPr>
        <w:pStyle w:val="Heading1"/>
        <w:jc w:val="left"/>
        <w:rPr>
          <w:lang w:val="en-GB"/>
        </w:rPr>
      </w:pPr>
      <w:r w:rsidRPr="00E205A1">
        <w:rPr>
          <w:noProof/>
          <w:lang w:val="en-GB" w:eastAsia="sk-SK"/>
        </w:rPr>
        <w:drawing>
          <wp:anchor distT="0" distB="0" distL="114300" distR="114300" simplePos="0" relativeHeight="251643904" behindDoc="0" locked="0" layoutInCell="1" allowOverlap="1" wp14:anchorId="656B7942" wp14:editId="6717D0EF">
            <wp:simplePos x="0" y="0"/>
            <wp:positionH relativeFrom="column">
              <wp:posOffset>3424555</wp:posOffset>
            </wp:positionH>
            <wp:positionV relativeFrom="paragraph">
              <wp:posOffset>250825</wp:posOffset>
            </wp:positionV>
            <wp:extent cx="2213610" cy="2213610"/>
            <wp:effectExtent l="0" t="0" r="0" b="0"/>
            <wp:wrapSquare wrapText="bothSides"/>
            <wp:docPr id="2" name="Graphic 2" descr="Presentation with bar chart 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4tGuCJ.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213610" cy="2213610"/>
                    </a:xfrm>
                    <a:prstGeom prst="rect">
                      <a:avLst/>
                    </a:prstGeom>
                  </pic:spPr>
                </pic:pic>
              </a:graphicData>
            </a:graphic>
          </wp:anchor>
        </w:drawing>
      </w:r>
    </w:p>
    <w:p w14:paraId="7D0F0B3E" w14:textId="77777777" w:rsidR="00482E2F" w:rsidRPr="00E205A1" w:rsidRDefault="00482E2F" w:rsidP="0084432A">
      <w:pPr>
        <w:pStyle w:val="Title"/>
        <w:rPr>
          <w:color w:val="4472C4" w:themeColor="accent1"/>
          <w:lang w:val="en-GB"/>
        </w:rPr>
      </w:pPr>
      <w:bookmarkStart w:id="1" w:name="OLE_LINK1"/>
      <w:r w:rsidRPr="00E205A1">
        <w:rPr>
          <w:color w:val="4472C4" w:themeColor="accent1"/>
          <w:lang w:val="en-GB"/>
        </w:rPr>
        <w:t xml:space="preserve">IT </w:t>
      </w:r>
      <w:r w:rsidR="00E205A1">
        <w:rPr>
          <w:color w:val="4472C4" w:themeColor="accent1"/>
          <w:lang w:val="en-GB"/>
        </w:rPr>
        <w:t>GOVERNMENT STRATEGY</w:t>
      </w:r>
      <w:r w:rsidRPr="00E205A1">
        <w:rPr>
          <w:color w:val="4472C4" w:themeColor="accent1"/>
          <w:lang w:val="en-GB"/>
        </w:rPr>
        <w:t xml:space="preserve"> </w:t>
      </w:r>
      <w:r w:rsidR="00DF3537" w:rsidRPr="00E205A1">
        <w:rPr>
          <w:color w:val="4472C4" w:themeColor="accent1"/>
          <w:lang w:val="en-GB"/>
        </w:rPr>
        <w:t>2021-2027</w:t>
      </w:r>
      <w:r w:rsidR="00BD2BA5" w:rsidRPr="00E205A1">
        <w:rPr>
          <w:color w:val="4472C4" w:themeColor="accent1"/>
          <w:lang w:val="en-GB"/>
        </w:rPr>
        <w:t xml:space="preserve"> </w:t>
      </w:r>
      <w:r w:rsidR="00DF3537" w:rsidRPr="00E205A1">
        <w:rPr>
          <w:color w:val="4472C4" w:themeColor="accent1"/>
          <w:lang w:val="en-GB"/>
        </w:rPr>
        <w:t>– comparison</w:t>
      </w:r>
      <w:r w:rsidR="00DC314A" w:rsidRPr="00E205A1">
        <w:rPr>
          <w:color w:val="4472C4" w:themeColor="accent1"/>
          <w:lang w:val="en-GB"/>
        </w:rPr>
        <w:t xml:space="preserve"> analysis</w:t>
      </w:r>
    </w:p>
    <w:bookmarkEnd w:id="1"/>
    <w:p w14:paraId="452F33D9" w14:textId="77777777" w:rsidR="00DC314A" w:rsidRPr="00E205A1" w:rsidRDefault="00DC314A" w:rsidP="00DC314A">
      <w:pPr>
        <w:rPr>
          <w:lang w:val="en-GB"/>
        </w:rPr>
      </w:pPr>
    </w:p>
    <w:p w14:paraId="3EE4DC15" w14:textId="77777777" w:rsidR="00DC314A" w:rsidRPr="00E205A1" w:rsidRDefault="00DC314A" w:rsidP="00DC314A">
      <w:pPr>
        <w:rPr>
          <w:lang w:val="en-GB"/>
        </w:rPr>
      </w:pPr>
    </w:p>
    <w:p w14:paraId="6CDBD9B5" w14:textId="77777777" w:rsidR="00DC314A" w:rsidRPr="00E205A1" w:rsidRDefault="00DC314A" w:rsidP="00DC314A">
      <w:pPr>
        <w:rPr>
          <w:lang w:val="en-GB"/>
        </w:rPr>
      </w:pPr>
    </w:p>
    <w:p w14:paraId="493BEAEA" w14:textId="77777777" w:rsidR="00DC314A" w:rsidRPr="00E205A1" w:rsidRDefault="00DC314A" w:rsidP="00DC314A">
      <w:pPr>
        <w:rPr>
          <w:lang w:val="en-GB"/>
        </w:rPr>
      </w:pPr>
    </w:p>
    <w:p w14:paraId="1AAFFE15" w14:textId="77777777" w:rsidR="00482E2F" w:rsidRPr="00E205A1" w:rsidRDefault="00482E2F" w:rsidP="00482E2F">
      <w:pPr>
        <w:rPr>
          <w:lang w:val="en-GB"/>
        </w:rPr>
      </w:pPr>
    </w:p>
    <w:p w14:paraId="6CB334C2" w14:textId="77777777" w:rsidR="0084432A" w:rsidRPr="00E205A1" w:rsidRDefault="0084432A" w:rsidP="00482E2F">
      <w:pPr>
        <w:pStyle w:val="Heading2"/>
        <w:rPr>
          <w:lang w:val="en-GB"/>
        </w:rPr>
      </w:pPr>
    </w:p>
    <w:p w14:paraId="31FBDB1B" w14:textId="77777777" w:rsidR="0084432A" w:rsidRPr="00E205A1" w:rsidRDefault="0084432A">
      <w:pPr>
        <w:rPr>
          <w:lang w:val="en-GB"/>
        </w:rPr>
      </w:pPr>
      <w:r w:rsidRPr="00E205A1">
        <w:rPr>
          <w:lang w:val="en-GB"/>
        </w:rPr>
        <w:br w:type="page"/>
      </w:r>
    </w:p>
    <w:p w14:paraId="2611728D" w14:textId="77777777" w:rsidR="00482E2F" w:rsidRPr="00E205A1" w:rsidRDefault="0084432A" w:rsidP="00482E2F">
      <w:pPr>
        <w:pStyle w:val="Heading2"/>
        <w:rPr>
          <w:lang w:val="en-GB"/>
        </w:rPr>
      </w:pPr>
      <w:r w:rsidRPr="00E205A1">
        <w:rPr>
          <w:lang w:val="en-GB"/>
        </w:rPr>
        <w:lastRenderedPageBreak/>
        <w:t>I</w:t>
      </w:r>
      <w:r w:rsidR="00482E2F" w:rsidRPr="00E205A1">
        <w:rPr>
          <w:lang w:val="en-GB"/>
        </w:rPr>
        <w:t>ntroduction</w:t>
      </w:r>
      <w:r w:rsidR="00CC3F03" w:rsidRPr="00E205A1">
        <w:rPr>
          <w:noProof/>
          <w:lang w:val="en-GB" w:eastAsia="sk-SK"/>
        </w:rPr>
        <w:drawing>
          <wp:inline distT="0" distB="0" distL="0" distR="0" wp14:anchorId="17B7599D" wp14:editId="6FF58804">
            <wp:extent cx="429584" cy="429584"/>
            <wp:effectExtent l="0" t="0" r="0" b="2540"/>
            <wp:docPr id="3" name="Graphic 3" descr="Sign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diafile_bg6rny.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8568" cy="438568"/>
                    </a:xfrm>
                    <a:prstGeom prst="rect">
                      <a:avLst/>
                    </a:prstGeom>
                  </pic:spPr>
                </pic:pic>
              </a:graphicData>
            </a:graphic>
          </wp:inline>
        </w:drawing>
      </w:r>
    </w:p>
    <w:p w14:paraId="0664599A" w14:textId="77777777" w:rsidR="005B2CC9" w:rsidRPr="00E205A1" w:rsidRDefault="00DC314A" w:rsidP="00DC314A">
      <w:pPr>
        <w:jc w:val="both"/>
        <w:rPr>
          <w:lang w:val="en-GB"/>
        </w:rPr>
      </w:pPr>
      <w:r w:rsidRPr="00E205A1">
        <w:rPr>
          <w:lang w:val="en-GB"/>
        </w:rPr>
        <w:t>Building on the European Commission Country Report Slovakia 2019 and first Slovakia investment prioritization proposal for new programming period 2021-2027 sent at the end of 2019, Deputy prime minister office for investment and informatization prepare</w:t>
      </w:r>
      <w:r w:rsidR="00AD7F30">
        <w:rPr>
          <w:lang w:val="en-GB"/>
        </w:rPr>
        <w:t>d</w:t>
      </w:r>
      <w:r w:rsidRPr="00E205A1">
        <w:rPr>
          <w:lang w:val="en-GB"/>
        </w:rPr>
        <w:t xml:space="preserve"> </w:t>
      </w:r>
      <w:r w:rsidR="000F75B0" w:rsidRPr="00E205A1">
        <w:rPr>
          <w:lang w:val="en-GB"/>
        </w:rPr>
        <w:t xml:space="preserve">this </w:t>
      </w:r>
      <w:r w:rsidRPr="00E205A1">
        <w:rPr>
          <w:lang w:val="en-GB"/>
        </w:rPr>
        <w:t xml:space="preserve">document to </w:t>
      </w:r>
      <w:r w:rsidR="000F75B0" w:rsidRPr="00E205A1">
        <w:rPr>
          <w:lang w:val="en-GB"/>
        </w:rPr>
        <w:t>open</w:t>
      </w:r>
      <w:r w:rsidRPr="00E205A1">
        <w:rPr>
          <w:lang w:val="en-GB"/>
        </w:rPr>
        <w:t xml:space="preserve"> new </w:t>
      </w:r>
      <w:r w:rsidR="00811CD3" w:rsidRPr="00E205A1">
        <w:rPr>
          <w:lang w:val="en-GB"/>
        </w:rPr>
        <w:t>framework</w:t>
      </w:r>
      <w:r w:rsidRPr="00E205A1">
        <w:rPr>
          <w:lang w:val="en-GB"/>
        </w:rPr>
        <w:t xml:space="preserve"> for </w:t>
      </w:r>
      <w:r w:rsidR="00811CD3" w:rsidRPr="00E205A1">
        <w:rPr>
          <w:lang w:val="en-GB"/>
        </w:rPr>
        <w:t xml:space="preserve">dialog about </w:t>
      </w:r>
      <w:r w:rsidRPr="00E205A1">
        <w:rPr>
          <w:lang w:val="en-GB"/>
        </w:rPr>
        <w:t>IT government strategy.</w:t>
      </w:r>
      <w:r w:rsidR="00290948" w:rsidRPr="00E205A1">
        <w:rPr>
          <w:lang w:val="en-GB"/>
        </w:rPr>
        <w:t xml:space="preserve"> </w:t>
      </w:r>
    </w:p>
    <w:p w14:paraId="52CE1C45" w14:textId="77777777" w:rsidR="005B2CC9" w:rsidRPr="00E205A1" w:rsidRDefault="005B2CC9" w:rsidP="00DC314A">
      <w:pPr>
        <w:jc w:val="both"/>
        <w:rPr>
          <w:lang w:val="en-GB"/>
        </w:rPr>
      </w:pPr>
    </w:p>
    <w:p w14:paraId="481F6D2A" w14:textId="77777777" w:rsidR="00AD0E96" w:rsidRPr="00E205A1" w:rsidRDefault="005B2CC9" w:rsidP="00DC314A">
      <w:pPr>
        <w:jc w:val="both"/>
        <w:rPr>
          <w:lang w:val="en-GB"/>
        </w:rPr>
      </w:pPr>
      <w:r w:rsidRPr="00E205A1">
        <w:rPr>
          <w:lang w:val="en-GB"/>
        </w:rPr>
        <w:t xml:space="preserve">Following text </w:t>
      </w:r>
      <w:r w:rsidR="00290948" w:rsidRPr="00E205A1">
        <w:rPr>
          <w:lang w:val="en-GB"/>
        </w:rPr>
        <w:t xml:space="preserve">is focused on digital government sector as part of the big picture of national </w:t>
      </w:r>
      <w:r w:rsidRPr="00E205A1">
        <w:rPr>
          <w:lang w:val="en-GB"/>
        </w:rPr>
        <w:t>Strategy for d</w:t>
      </w:r>
      <w:r w:rsidR="00290948" w:rsidRPr="00E205A1">
        <w:rPr>
          <w:lang w:val="en-GB"/>
        </w:rPr>
        <w:t>igital transformation, its Action plan which includes</w:t>
      </w:r>
      <w:r w:rsidRPr="00E205A1">
        <w:rPr>
          <w:lang w:val="en-GB"/>
        </w:rPr>
        <w:t xml:space="preserve"> application of new technologies in</w:t>
      </w:r>
      <w:r w:rsidR="00290948" w:rsidRPr="00E205A1">
        <w:rPr>
          <w:lang w:val="en-GB"/>
        </w:rPr>
        <w:t xml:space="preserve"> </w:t>
      </w:r>
      <w:r w:rsidRPr="00E205A1">
        <w:rPr>
          <w:lang w:val="en-GB"/>
        </w:rPr>
        <w:t>all</w:t>
      </w:r>
      <w:r w:rsidR="00290948" w:rsidRPr="00E205A1">
        <w:rPr>
          <w:lang w:val="en-GB"/>
        </w:rPr>
        <w:t xml:space="preserve"> sectors</w:t>
      </w:r>
      <w:r w:rsidRPr="00E205A1">
        <w:rPr>
          <w:lang w:val="en-GB"/>
        </w:rPr>
        <w:t xml:space="preserve">. To keep </w:t>
      </w:r>
      <w:r w:rsidR="000F75B0" w:rsidRPr="00E205A1">
        <w:rPr>
          <w:lang w:val="en-GB"/>
        </w:rPr>
        <w:t xml:space="preserve">dialog </w:t>
      </w:r>
      <w:r w:rsidR="00CF33D6" w:rsidRPr="00E205A1">
        <w:rPr>
          <w:lang w:val="en-GB"/>
        </w:rPr>
        <w:t>narrow</w:t>
      </w:r>
      <w:r w:rsidRPr="00E205A1">
        <w:rPr>
          <w:lang w:val="en-GB"/>
        </w:rPr>
        <w:t xml:space="preserve">, also broadband topic will require separate </w:t>
      </w:r>
      <w:r w:rsidR="000F75B0" w:rsidRPr="00E205A1">
        <w:rPr>
          <w:lang w:val="en-GB"/>
        </w:rPr>
        <w:t>communication</w:t>
      </w:r>
      <w:r w:rsidRPr="00E205A1">
        <w:rPr>
          <w:lang w:val="en-GB"/>
        </w:rPr>
        <w:t xml:space="preserve">. </w:t>
      </w:r>
    </w:p>
    <w:p w14:paraId="78ABC5E3" w14:textId="77777777" w:rsidR="00CF33D6" w:rsidRPr="00E205A1" w:rsidRDefault="00CF33D6" w:rsidP="00DC314A">
      <w:pPr>
        <w:jc w:val="both"/>
        <w:rPr>
          <w:lang w:val="en-GB"/>
        </w:rPr>
      </w:pPr>
    </w:p>
    <w:p w14:paraId="70D3894D" w14:textId="77777777" w:rsidR="00CF33D6" w:rsidRPr="00E205A1" w:rsidRDefault="00CF33D6" w:rsidP="00CF33D6">
      <w:pPr>
        <w:jc w:val="both"/>
        <w:rPr>
          <w:lang w:val="en-GB"/>
        </w:rPr>
      </w:pPr>
      <w:r w:rsidRPr="00E205A1">
        <w:rPr>
          <w:lang w:val="en-GB"/>
        </w:rPr>
        <w:t xml:space="preserve">Priorities of </w:t>
      </w:r>
      <w:r w:rsidR="0042245B">
        <w:rPr>
          <w:lang w:val="en-GB"/>
        </w:rPr>
        <w:t>d</w:t>
      </w:r>
      <w:r w:rsidRPr="00E205A1">
        <w:rPr>
          <w:lang w:val="en-GB"/>
        </w:rPr>
        <w:t>igital government strategy for new programming period are linked to the Policy Objective 1: A Smarter Europe – Innovative and smart industrial transformation, based on European Commission recommendation „investment needs are identified to reaping the benefits of digitisation for citizens, companies and governments, and in particular to:</w:t>
      </w:r>
    </w:p>
    <w:p w14:paraId="7E474847" w14:textId="77777777" w:rsidR="00CF33D6" w:rsidRPr="00E205A1" w:rsidRDefault="00CF33D6" w:rsidP="00CF33D6">
      <w:pPr>
        <w:pStyle w:val="ListParagraph"/>
        <w:numPr>
          <w:ilvl w:val="0"/>
          <w:numId w:val="9"/>
        </w:numPr>
        <w:jc w:val="both"/>
        <w:rPr>
          <w:lang w:val="en-GB"/>
        </w:rPr>
      </w:pPr>
      <w:r w:rsidRPr="00E205A1">
        <w:rPr>
          <w:lang w:val="en-GB"/>
        </w:rPr>
        <w:t>increase the quality and effectiveness of e-service provision taking into account regional differences and prioritising regions lagging behind;</w:t>
      </w:r>
    </w:p>
    <w:p w14:paraId="0FACCEFF" w14:textId="77777777" w:rsidR="00AD0E96" w:rsidRPr="00E205A1" w:rsidRDefault="00CF33D6" w:rsidP="00CF33D6">
      <w:pPr>
        <w:pStyle w:val="ListParagraph"/>
        <w:numPr>
          <w:ilvl w:val="0"/>
          <w:numId w:val="9"/>
        </w:numPr>
        <w:jc w:val="both"/>
        <w:rPr>
          <w:lang w:val="en-GB"/>
        </w:rPr>
      </w:pPr>
      <w:r w:rsidRPr="00E205A1">
        <w:rPr>
          <w:lang w:val="en-GB"/>
        </w:rPr>
        <w:t>cooperate with neighbouring countries in developing mutually recognisable e-services.</w:t>
      </w:r>
      <w:r w:rsidR="0042245B">
        <w:rPr>
          <w:lang w:val="en-GB"/>
        </w:rPr>
        <w:t>”</w:t>
      </w:r>
    </w:p>
    <w:p w14:paraId="738DC235" w14:textId="77777777" w:rsidR="00CF33D6" w:rsidRPr="00E205A1" w:rsidRDefault="00CF33D6" w:rsidP="00CF33D6">
      <w:pPr>
        <w:rPr>
          <w:rFonts w:ascii="Times New Roman" w:eastAsia="Times New Roman" w:hAnsi="Times New Roman" w:cs="Times New Roman"/>
          <w:lang w:val="en-GB" w:eastAsia="en-GB"/>
        </w:rPr>
      </w:pPr>
    </w:p>
    <w:p w14:paraId="20606697" w14:textId="77777777" w:rsidR="00482E2F" w:rsidRPr="00E205A1" w:rsidRDefault="00811CD3" w:rsidP="0079300A">
      <w:pPr>
        <w:jc w:val="both"/>
        <w:rPr>
          <w:lang w:val="en-GB"/>
        </w:rPr>
      </w:pPr>
      <w:r w:rsidRPr="00E205A1">
        <w:rPr>
          <w:lang w:val="en-GB"/>
        </w:rPr>
        <w:t xml:space="preserve">First chapter of the document briefly summarize IT during programming period 2014-2020 and second chapter focuses on programming period 2021-2027 based on comparison analysis. Second chapter </w:t>
      </w:r>
      <w:r w:rsidR="00AD7F30">
        <w:rPr>
          <w:lang w:val="en-GB"/>
        </w:rPr>
        <w:t xml:space="preserve">has </w:t>
      </w:r>
      <w:r w:rsidRPr="00E205A1">
        <w:rPr>
          <w:lang w:val="en-GB"/>
        </w:rPr>
        <w:t>four sections, each dedicated to different viewpoint</w:t>
      </w:r>
      <w:r w:rsidR="00204C98" w:rsidRPr="00E205A1">
        <w:rPr>
          <w:lang w:val="en-GB"/>
        </w:rPr>
        <w:t xml:space="preserve"> on the comparison between programming period</w:t>
      </w:r>
      <w:r w:rsidRPr="00E205A1">
        <w:rPr>
          <w:lang w:val="en-GB"/>
        </w:rPr>
        <w:t xml:space="preserve"> 2014-2020 and 2021-2027</w:t>
      </w:r>
      <w:r w:rsidR="00204C98" w:rsidRPr="00E205A1">
        <w:rPr>
          <w:lang w:val="en-GB"/>
        </w:rPr>
        <w:t xml:space="preserve">. Due to the complexity, each section has </w:t>
      </w:r>
      <w:r w:rsidR="00204C98" w:rsidRPr="00E205A1">
        <w:rPr>
          <w:b/>
          <w:bCs/>
          <w:lang w:val="en-GB"/>
        </w:rPr>
        <w:t>simplified</w:t>
      </w:r>
      <w:r w:rsidR="00204C98" w:rsidRPr="00E205A1">
        <w:rPr>
          <w:lang w:val="en-GB"/>
        </w:rPr>
        <w:t xml:space="preserve"> </w:t>
      </w:r>
      <w:r w:rsidR="0088755F" w:rsidRPr="00E205A1">
        <w:rPr>
          <w:b/>
          <w:bCs/>
          <w:lang w:val="en-GB"/>
        </w:rPr>
        <w:t>figures</w:t>
      </w:r>
      <w:r w:rsidR="00204C98" w:rsidRPr="00E205A1">
        <w:rPr>
          <w:lang w:val="en-GB"/>
        </w:rPr>
        <w:t xml:space="preserve"> representing </w:t>
      </w:r>
      <w:r w:rsidR="00204C98" w:rsidRPr="00E205A1">
        <w:rPr>
          <w:b/>
          <w:bCs/>
          <w:lang w:val="en-GB"/>
        </w:rPr>
        <w:t xml:space="preserve">situation of OPII after </w:t>
      </w:r>
      <w:r w:rsidR="00CF33D6" w:rsidRPr="00E205A1">
        <w:rPr>
          <w:b/>
          <w:bCs/>
          <w:lang w:val="en-GB"/>
        </w:rPr>
        <w:t>projects</w:t>
      </w:r>
      <w:r w:rsidR="00204C98" w:rsidRPr="00E205A1">
        <w:rPr>
          <w:b/>
          <w:bCs/>
          <w:lang w:val="en-GB"/>
        </w:rPr>
        <w:t xml:space="preserve"> will be delivered</w:t>
      </w:r>
      <w:r w:rsidR="00204C98" w:rsidRPr="00E205A1">
        <w:rPr>
          <w:lang w:val="en-GB"/>
        </w:rPr>
        <w:t xml:space="preserve"> (year 2023) and situation of new programming period and its delivery held in 2030.</w:t>
      </w:r>
      <w:r w:rsidR="00C316F8" w:rsidRPr="00E205A1">
        <w:rPr>
          <w:lang w:val="en-GB"/>
        </w:rPr>
        <w:t xml:space="preserve"> </w:t>
      </w:r>
      <w:r w:rsidRPr="00E205A1">
        <w:rPr>
          <w:lang w:val="en-GB"/>
        </w:rPr>
        <w:t xml:space="preserve">Document is at the end </w:t>
      </w:r>
      <w:r w:rsidR="00C316F8" w:rsidRPr="00E205A1">
        <w:rPr>
          <w:lang w:val="en-GB"/>
        </w:rPr>
        <w:t xml:space="preserve">explaining </w:t>
      </w:r>
      <w:r w:rsidR="00C316F8" w:rsidRPr="00E205A1">
        <w:rPr>
          <w:b/>
          <w:bCs/>
          <w:lang w:val="en-GB"/>
        </w:rPr>
        <w:t>new tools</w:t>
      </w:r>
      <w:r w:rsidR="00C316F8" w:rsidRPr="00E205A1">
        <w:rPr>
          <w:lang w:val="en-GB"/>
        </w:rPr>
        <w:t xml:space="preserve"> to tackle IT projects </w:t>
      </w:r>
      <w:r w:rsidR="00CC3F03" w:rsidRPr="00E205A1">
        <w:rPr>
          <w:lang w:val="en-GB"/>
        </w:rPr>
        <w:t xml:space="preserve">slack of </w:t>
      </w:r>
      <w:r w:rsidR="00CC3F03" w:rsidRPr="00E205A1">
        <w:rPr>
          <w:b/>
          <w:bCs/>
          <w:lang w:val="en-GB"/>
        </w:rPr>
        <w:t>delivery</w:t>
      </w:r>
      <w:r w:rsidR="0042245B">
        <w:rPr>
          <w:b/>
          <w:bCs/>
          <w:lang w:val="en-GB"/>
        </w:rPr>
        <w:t xml:space="preserve"> risk</w:t>
      </w:r>
      <w:r w:rsidR="00CF33D6" w:rsidRPr="00E205A1">
        <w:rPr>
          <w:lang w:val="en-GB"/>
        </w:rPr>
        <w:t xml:space="preserve">. </w:t>
      </w:r>
      <w:r w:rsidR="00204C98" w:rsidRPr="00E205A1">
        <w:rPr>
          <w:lang w:val="en-GB"/>
        </w:rPr>
        <w:t xml:space="preserve">The data used to create the comparison </w:t>
      </w:r>
      <w:r w:rsidR="0088755F" w:rsidRPr="00E205A1">
        <w:rPr>
          <w:lang w:val="en-GB"/>
        </w:rPr>
        <w:t>figures</w:t>
      </w:r>
      <w:r w:rsidR="00204C98" w:rsidRPr="00E205A1">
        <w:rPr>
          <w:lang w:val="en-GB"/>
        </w:rPr>
        <w:t xml:space="preserve"> are </w:t>
      </w:r>
      <w:r w:rsidR="00D646B7" w:rsidRPr="00E205A1">
        <w:rPr>
          <w:lang w:val="en-GB"/>
        </w:rPr>
        <w:t>indicative figures</w:t>
      </w:r>
      <w:r w:rsidR="00E91FDA">
        <w:rPr>
          <w:lang w:val="en-GB"/>
        </w:rPr>
        <w:t>. Document</w:t>
      </w:r>
      <w:r w:rsidR="00204C98" w:rsidRPr="00E205A1">
        <w:rPr>
          <w:lang w:val="en-GB"/>
        </w:rPr>
        <w:t xml:space="preserve"> was created by </w:t>
      </w:r>
      <w:r w:rsidR="00A51F4F" w:rsidRPr="00E205A1">
        <w:rPr>
          <w:lang w:val="en-GB"/>
        </w:rPr>
        <w:t xml:space="preserve">the department of </w:t>
      </w:r>
      <w:r w:rsidR="00204C98" w:rsidRPr="00E205A1">
        <w:rPr>
          <w:lang w:val="en-GB"/>
        </w:rPr>
        <w:t>programming office involved in all submitted IT project</w:t>
      </w:r>
      <w:r w:rsidR="00A51F4F" w:rsidRPr="00E205A1">
        <w:rPr>
          <w:lang w:val="en-GB"/>
        </w:rPr>
        <w:t>s</w:t>
      </w:r>
      <w:r w:rsidR="00204C98" w:rsidRPr="00E205A1">
        <w:rPr>
          <w:lang w:val="en-GB"/>
        </w:rPr>
        <w:t xml:space="preserve"> </w:t>
      </w:r>
      <w:r w:rsidR="00CC3F03" w:rsidRPr="00E205A1">
        <w:rPr>
          <w:lang w:val="en-GB"/>
        </w:rPr>
        <w:t>to</w:t>
      </w:r>
      <w:r w:rsidR="00204C98" w:rsidRPr="00E205A1">
        <w:rPr>
          <w:lang w:val="en-GB"/>
        </w:rPr>
        <w:t xml:space="preserve"> OPII and other IT projects financed by </w:t>
      </w:r>
      <w:r w:rsidR="00A51F4F" w:rsidRPr="00E205A1">
        <w:rPr>
          <w:lang w:val="en-GB"/>
        </w:rPr>
        <w:t xml:space="preserve">the </w:t>
      </w:r>
      <w:r w:rsidR="00204C98" w:rsidRPr="00E205A1">
        <w:rPr>
          <w:lang w:val="en-GB"/>
        </w:rPr>
        <w:t xml:space="preserve">state budget. </w:t>
      </w:r>
      <w:r w:rsidR="00C316F8" w:rsidRPr="00E205A1">
        <w:rPr>
          <w:lang w:val="en-GB"/>
        </w:rPr>
        <w:t xml:space="preserve">The numbers will be tuned in following documentation for </w:t>
      </w:r>
      <w:r w:rsidR="00A51F4F" w:rsidRPr="00E205A1">
        <w:rPr>
          <w:lang w:val="en-GB"/>
        </w:rPr>
        <w:t xml:space="preserve">the </w:t>
      </w:r>
      <w:r w:rsidR="00C316F8" w:rsidRPr="00E205A1">
        <w:rPr>
          <w:lang w:val="en-GB"/>
        </w:rPr>
        <w:t xml:space="preserve">new programming period. </w:t>
      </w:r>
    </w:p>
    <w:p w14:paraId="2D4C61BC" w14:textId="77777777" w:rsidR="00C739ED" w:rsidRPr="00E205A1" w:rsidRDefault="00C739ED" w:rsidP="0079300A">
      <w:pPr>
        <w:jc w:val="both"/>
        <w:rPr>
          <w:lang w:val="en-GB"/>
        </w:rPr>
      </w:pPr>
    </w:p>
    <w:p w14:paraId="664E2995" w14:textId="77777777" w:rsidR="00C739ED" w:rsidRPr="00E205A1" w:rsidRDefault="00C739ED" w:rsidP="00C758EE">
      <w:pPr>
        <w:pStyle w:val="Heading1"/>
        <w:rPr>
          <w:lang w:val="en-GB"/>
        </w:rPr>
      </w:pPr>
      <w:r w:rsidRPr="00E205A1">
        <w:rPr>
          <w:lang w:val="en-GB"/>
        </w:rPr>
        <w:t>CHAPTER ONE: PROGRAMMING PERIOD 2014-2020</w:t>
      </w:r>
    </w:p>
    <w:p w14:paraId="5F9E337C" w14:textId="77777777" w:rsidR="00C739ED" w:rsidRDefault="00C739ED" w:rsidP="0079300A">
      <w:pPr>
        <w:jc w:val="both"/>
        <w:rPr>
          <w:lang w:val="en-GB"/>
        </w:rPr>
      </w:pPr>
    </w:p>
    <w:p w14:paraId="532A0DA3" w14:textId="77777777" w:rsidR="00B877E0" w:rsidRPr="00C67BDA" w:rsidRDefault="00C67BDA" w:rsidP="00C67BDA">
      <w:pPr>
        <w:pStyle w:val="ListParagraph"/>
        <w:numPr>
          <w:ilvl w:val="0"/>
          <w:numId w:val="10"/>
        </w:numPr>
        <w:jc w:val="both"/>
        <w:rPr>
          <w:lang w:val="en-GB"/>
        </w:rPr>
      </w:pPr>
      <w:r>
        <w:rPr>
          <w:lang w:val="en-GB"/>
        </w:rPr>
        <w:t xml:space="preserve">During programming period 2014-2020, </w:t>
      </w:r>
      <w:r w:rsidR="0042245B">
        <w:rPr>
          <w:lang w:val="en-GB"/>
        </w:rPr>
        <w:t>eGovernment strategy</w:t>
      </w:r>
      <w:r w:rsidRPr="00C67BDA">
        <w:rPr>
          <w:lang w:val="en-GB"/>
        </w:rPr>
        <w:t xml:space="preserve"> </w:t>
      </w:r>
      <w:r>
        <w:rPr>
          <w:lang w:val="en-GB"/>
        </w:rPr>
        <w:t>was</w:t>
      </w:r>
      <w:r w:rsidRPr="00C67BDA">
        <w:rPr>
          <w:lang w:val="en-GB"/>
        </w:rPr>
        <w:t xml:space="preserve"> supported by </w:t>
      </w:r>
      <w:r w:rsidR="00B877E0" w:rsidRPr="00C67BDA">
        <w:rPr>
          <w:lang w:val="en-GB"/>
        </w:rPr>
        <w:t>Operational programme Integrated infrastructure</w:t>
      </w:r>
      <w:r>
        <w:rPr>
          <w:lang w:val="en-GB"/>
        </w:rPr>
        <w:t xml:space="preserve">, by </w:t>
      </w:r>
      <w:r w:rsidRPr="00C67BDA">
        <w:rPr>
          <w:lang w:val="en-GB"/>
        </w:rPr>
        <w:t xml:space="preserve">priority axis 7: Information society, </w:t>
      </w:r>
      <w:r w:rsidR="00B877E0" w:rsidRPr="00C67BDA">
        <w:rPr>
          <w:lang w:val="en-GB"/>
        </w:rPr>
        <w:t xml:space="preserve">implemented through nine specific objectives: 1. Broadband, 2. </w:t>
      </w:r>
      <w:r w:rsidRPr="00C67BDA">
        <w:rPr>
          <w:lang w:val="en-GB"/>
        </w:rPr>
        <w:t xml:space="preserve">SME innovation capacity support in digital economy, 3. Government to Business digital services, 4. Government to Citizen digital services, 5. Open data, 6. Digital inclusion, 7. Modernization of government institution, 8. Government cloud, 9.  Cybersecurity. </w:t>
      </w:r>
    </w:p>
    <w:p w14:paraId="0F5A0E25" w14:textId="77777777" w:rsidR="00362CC2" w:rsidRDefault="00B877E0" w:rsidP="00DD79F7">
      <w:pPr>
        <w:pStyle w:val="ListParagraph"/>
        <w:numPr>
          <w:ilvl w:val="0"/>
          <w:numId w:val="11"/>
        </w:numPr>
        <w:jc w:val="both"/>
        <w:rPr>
          <w:lang w:val="en-GB"/>
        </w:rPr>
      </w:pPr>
      <w:r>
        <w:rPr>
          <w:noProof/>
        </w:rPr>
        <w:lastRenderedPageBreak/>
        <w:drawing>
          <wp:anchor distT="0" distB="0" distL="114300" distR="114300" simplePos="0" relativeHeight="251672576" behindDoc="0" locked="0" layoutInCell="1" allowOverlap="1" wp14:anchorId="7CB42797" wp14:editId="265FBAD3">
            <wp:simplePos x="0" y="0"/>
            <wp:positionH relativeFrom="column">
              <wp:posOffset>0</wp:posOffset>
            </wp:positionH>
            <wp:positionV relativeFrom="paragraph">
              <wp:posOffset>1270</wp:posOffset>
            </wp:positionV>
            <wp:extent cx="4233600" cy="2351405"/>
            <wp:effectExtent l="0" t="0" r="0" b="0"/>
            <wp:wrapSquare wrapText="bothSides"/>
            <wp:docPr id="1" name="Chart 1">
              <a:extLst xmlns:a="http://schemas.openxmlformats.org/drawingml/2006/main">
                <a:ext uri="{FF2B5EF4-FFF2-40B4-BE49-F238E27FC236}">
                  <a16:creationId xmlns:a16="http://schemas.microsoft.com/office/drawing/2014/main" id="{AEEB9827-B83F-D44B-ACB9-36743812F8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C67BDA" w:rsidRPr="00DD79F7">
        <w:rPr>
          <w:lang w:val="en-GB"/>
        </w:rPr>
        <w:t xml:space="preserve">The biggest proportion of approved projects </w:t>
      </w:r>
      <w:r w:rsidR="0042245B" w:rsidRPr="00DD79F7">
        <w:rPr>
          <w:lang w:val="en-GB"/>
        </w:rPr>
        <w:t>allocation</w:t>
      </w:r>
      <w:r w:rsidR="00C67BDA" w:rsidRPr="00DD79F7">
        <w:rPr>
          <w:lang w:val="en-GB"/>
        </w:rPr>
        <w:t xml:space="preserve"> </w:t>
      </w:r>
      <w:r w:rsidR="0042245B" w:rsidRPr="00DD79F7">
        <w:rPr>
          <w:lang w:val="en-GB"/>
        </w:rPr>
        <w:t>is</w:t>
      </w:r>
      <w:r w:rsidR="00C67BDA" w:rsidRPr="00DD79F7">
        <w:rPr>
          <w:lang w:val="en-GB"/>
        </w:rPr>
        <w:t xml:space="preserve"> in specific objectives: 7.7 Modernization of government institution, followed by 7.4 Government to Citizen digital services, 7.8. Government cloud, 7.3 Government to Business digital services and </w:t>
      </w:r>
      <w:r w:rsidR="00706482" w:rsidRPr="00DD79F7">
        <w:rPr>
          <w:lang w:val="en-GB"/>
        </w:rPr>
        <w:t xml:space="preserve">7.9 Cybersecurity with 11% and 7.5 Open data with 10%. </w:t>
      </w:r>
    </w:p>
    <w:p w14:paraId="0CDD5273" w14:textId="77777777" w:rsidR="00DD79F7" w:rsidRPr="00DD79F7" w:rsidRDefault="00312112" w:rsidP="00DD79F7">
      <w:pPr>
        <w:pStyle w:val="ListParagraph"/>
        <w:numPr>
          <w:ilvl w:val="0"/>
          <w:numId w:val="11"/>
        </w:numPr>
        <w:jc w:val="both"/>
        <w:rPr>
          <w:lang w:val="en-GB"/>
        </w:rPr>
      </w:pPr>
      <w:r>
        <w:rPr>
          <w:lang w:val="en-GB"/>
        </w:rPr>
        <w:t xml:space="preserve">The most approved projects were supported by specific objective 7.7 Modernization of government institution with electronic workflow as a most required activity.  Specific objective 7.5 focused on open data is horizontal and can be delivered by most supported projects, which explains the second highest number. Third place belong to specific objective 7.4 and 7.3 oriented to digital services for citizens and business. Projects in these specific objectives aimed mostly on new electronic services.  </w:t>
      </w:r>
    </w:p>
    <w:p w14:paraId="21B0B150" w14:textId="77777777" w:rsidR="00DD79F7" w:rsidRDefault="00DD79F7" w:rsidP="0079300A">
      <w:pPr>
        <w:jc w:val="both"/>
        <w:rPr>
          <w:lang w:val="en-GB"/>
        </w:rPr>
      </w:pPr>
      <w:r>
        <w:rPr>
          <w:noProof/>
        </w:rPr>
        <w:drawing>
          <wp:inline distT="0" distB="0" distL="0" distR="0" wp14:anchorId="283A02BC" wp14:editId="5487C0F6">
            <wp:extent cx="5727700" cy="2388235"/>
            <wp:effectExtent l="0" t="0" r="0" b="0"/>
            <wp:docPr id="23" name="Chart 23">
              <a:extLst xmlns:a="http://schemas.openxmlformats.org/drawingml/2006/main">
                <a:ext uri="{FF2B5EF4-FFF2-40B4-BE49-F238E27FC236}">
                  <a16:creationId xmlns:a16="http://schemas.microsoft.com/office/drawing/2014/main" id="{839F2036-DB83-9745-B37D-487F4A0FD8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28F11FF" w14:textId="77777777" w:rsidR="00DD79F7" w:rsidRPr="00E205A1" w:rsidRDefault="00DD79F7" w:rsidP="0079300A">
      <w:pPr>
        <w:jc w:val="both"/>
        <w:rPr>
          <w:lang w:val="en-GB"/>
        </w:rPr>
      </w:pPr>
    </w:p>
    <w:p w14:paraId="15B22580" w14:textId="77777777" w:rsidR="005B2CC9" w:rsidRPr="00E205A1" w:rsidRDefault="0042245B" w:rsidP="009E1691">
      <w:pPr>
        <w:pStyle w:val="ListParagraph"/>
        <w:numPr>
          <w:ilvl w:val="0"/>
          <w:numId w:val="3"/>
        </w:numPr>
        <w:jc w:val="both"/>
        <w:rPr>
          <w:lang w:val="en-GB"/>
        </w:rPr>
      </w:pPr>
      <w:r>
        <w:rPr>
          <w:lang w:val="en-GB"/>
        </w:rPr>
        <w:t>As was mention, eGovernment</w:t>
      </w:r>
      <w:r w:rsidR="0022670B" w:rsidRPr="00E205A1">
        <w:rPr>
          <w:lang w:val="en-GB"/>
        </w:rPr>
        <w:t xml:space="preserve"> strategy for programming period 2014-2020 was built upon nine specific objectives. For purpose of the document, most relevant</w:t>
      </w:r>
      <w:r w:rsidR="00E205A1" w:rsidRPr="00E205A1">
        <w:rPr>
          <w:lang w:val="en-GB"/>
        </w:rPr>
        <w:t xml:space="preserve"> </w:t>
      </w:r>
      <w:r w:rsidR="0022670B" w:rsidRPr="00E205A1">
        <w:rPr>
          <w:lang w:val="en-GB"/>
        </w:rPr>
        <w:t>specific objectives</w:t>
      </w:r>
      <w:r w:rsidR="00E205A1" w:rsidRPr="00E205A1">
        <w:rPr>
          <w:lang w:val="en-GB"/>
        </w:rPr>
        <w:t xml:space="preserve"> and their activities</w:t>
      </w:r>
      <w:r w:rsidR="0022670B" w:rsidRPr="00E205A1">
        <w:rPr>
          <w:lang w:val="en-GB"/>
        </w:rPr>
        <w:t xml:space="preserve"> was </w:t>
      </w:r>
      <w:r w:rsidR="00E205A1" w:rsidRPr="00E205A1">
        <w:rPr>
          <w:lang w:val="en-GB"/>
        </w:rPr>
        <w:t>classified</w:t>
      </w:r>
      <w:r w:rsidR="0022670B" w:rsidRPr="00E205A1">
        <w:rPr>
          <w:lang w:val="en-GB"/>
        </w:rPr>
        <w:t xml:space="preserve"> in tree perspectives</w:t>
      </w:r>
      <w:r>
        <w:rPr>
          <w:lang w:val="en-GB"/>
        </w:rPr>
        <w:t xml:space="preserve"> based on the implementation tactic. </w:t>
      </w:r>
      <w:r w:rsidR="005B2CC9" w:rsidRPr="00E205A1">
        <w:rPr>
          <w:lang w:val="en-GB"/>
        </w:rPr>
        <w:t xml:space="preserve">First perspective is </w:t>
      </w:r>
      <w:r w:rsidR="005B2CC9" w:rsidRPr="00E205A1">
        <w:rPr>
          <w:b/>
          <w:bCs/>
          <w:lang w:val="en-GB"/>
        </w:rPr>
        <w:t>experiment</w:t>
      </w:r>
      <w:r w:rsidR="005B2CC9" w:rsidRPr="00E205A1">
        <w:rPr>
          <w:lang w:val="en-GB"/>
        </w:rPr>
        <w:t xml:space="preserve">, dedicated to new ideas that need to be tested, absorbed by operational level of institutions. Moreover, </w:t>
      </w:r>
      <w:r w:rsidR="00E205A1" w:rsidRPr="00E205A1">
        <w:rPr>
          <w:lang w:val="en-GB"/>
        </w:rPr>
        <w:t xml:space="preserve">thank to the experiments, </w:t>
      </w:r>
      <w:r w:rsidR="005B2CC9" w:rsidRPr="00E205A1">
        <w:rPr>
          <w:lang w:val="en-GB"/>
        </w:rPr>
        <w:t xml:space="preserve">capacity knowledge will be acquired on the institutional level. Second perspective is </w:t>
      </w:r>
      <w:r w:rsidR="005B2CC9" w:rsidRPr="00E205A1">
        <w:rPr>
          <w:b/>
          <w:bCs/>
          <w:lang w:val="en-GB"/>
        </w:rPr>
        <w:t>rollout</w:t>
      </w:r>
      <w:r w:rsidR="005B2CC9" w:rsidRPr="00E205A1">
        <w:rPr>
          <w:lang w:val="en-GB"/>
        </w:rPr>
        <w:t xml:space="preserve">, which is a follow up for successfully implemented experiments. It is more funded with broad understanding what and how needs to be done. The third perspective is </w:t>
      </w:r>
      <w:r w:rsidR="005B2CC9" w:rsidRPr="00E205A1">
        <w:rPr>
          <w:b/>
          <w:bCs/>
          <w:lang w:val="en-GB"/>
        </w:rPr>
        <w:t xml:space="preserve">continue, </w:t>
      </w:r>
      <w:r w:rsidR="005B2CC9" w:rsidRPr="00E205A1">
        <w:rPr>
          <w:lang w:val="en-GB"/>
        </w:rPr>
        <w:t xml:space="preserve">ensuring necessity tuning and changes as a reaction to activities in rollout perspective. </w:t>
      </w:r>
      <w:r w:rsidR="00E205A1" w:rsidRPr="00E205A1">
        <w:rPr>
          <w:lang w:val="en-GB"/>
        </w:rPr>
        <w:t>More details about a</w:t>
      </w:r>
      <w:r w:rsidR="005B2CC9" w:rsidRPr="00E205A1">
        <w:rPr>
          <w:lang w:val="en-GB"/>
        </w:rPr>
        <w:t xml:space="preserve">ctivities </w:t>
      </w:r>
      <w:r w:rsidR="00E205A1" w:rsidRPr="00E205A1">
        <w:rPr>
          <w:lang w:val="en-GB"/>
        </w:rPr>
        <w:t xml:space="preserve">which </w:t>
      </w:r>
      <w:r w:rsidR="005B2CC9" w:rsidRPr="00E205A1">
        <w:rPr>
          <w:lang w:val="en-GB"/>
        </w:rPr>
        <w:t xml:space="preserve">fall out </w:t>
      </w:r>
      <w:r w:rsidR="00E205A1" w:rsidRPr="00E205A1">
        <w:rPr>
          <w:lang w:val="en-GB"/>
        </w:rPr>
        <w:t xml:space="preserve">for the next </w:t>
      </w:r>
      <w:r w:rsidR="00E205A1" w:rsidRPr="00E205A1">
        <w:rPr>
          <w:lang w:val="en-GB"/>
        </w:rPr>
        <w:lastRenderedPageBreak/>
        <w:t xml:space="preserve">programming period </w:t>
      </w:r>
      <w:r w:rsidR="005B2CC9" w:rsidRPr="00E205A1">
        <w:rPr>
          <w:lang w:val="en-GB"/>
        </w:rPr>
        <w:t xml:space="preserve">due to lack of </w:t>
      </w:r>
      <w:r w:rsidR="00E205A1" w:rsidRPr="00E205A1">
        <w:rPr>
          <w:lang w:val="en-GB"/>
        </w:rPr>
        <w:t>progress, needs</w:t>
      </w:r>
      <w:r w:rsidR="005B2CC9" w:rsidRPr="00E205A1">
        <w:rPr>
          <w:lang w:val="en-GB"/>
        </w:rPr>
        <w:t xml:space="preserve"> or replacement by a new</w:t>
      </w:r>
      <w:r w:rsidR="00E205A1" w:rsidRPr="00E205A1">
        <w:rPr>
          <w:lang w:val="en-GB"/>
        </w:rPr>
        <w:t xml:space="preserve">, </w:t>
      </w:r>
      <w:r w:rsidR="005B2CC9" w:rsidRPr="00E205A1">
        <w:rPr>
          <w:lang w:val="en-GB"/>
        </w:rPr>
        <w:t>better solution</w:t>
      </w:r>
      <w:r w:rsidR="00E205A1" w:rsidRPr="00E205A1">
        <w:rPr>
          <w:lang w:val="en-GB"/>
        </w:rPr>
        <w:t xml:space="preserve"> are in chapter two, section two.  </w:t>
      </w:r>
    </w:p>
    <w:p w14:paraId="6E556C60" w14:textId="77777777" w:rsidR="0022670B" w:rsidRPr="00E205A1" w:rsidRDefault="0022670B" w:rsidP="0022670B">
      <w:pPr>
        <w:jc w:val="both"/>
        <w:rPr>
          <w:lang w:val="en-GB"/>
        </w:rPr>
      </w:pPr>
    </w:p>
    <w:p w14:paraId="5E2B86A6" w14:textId="77777777" w:rsidR="0022670B" w:rsidRPr="00E205A1" w:rsidRDefault="0022670B" w:rsidP="0022670B">
      <w:pPr>
        <w:jc w:val="both"/>
        <w:rPr>
          <w:lang w:val="en-GB"/>
        </w:rPr>
      </w:pPr>
      <w:r w:rsidRPr="00E205A1">
        <w:rPr>
          <w:noProof/>
          <w:lang w:val="en-GB"/>
        </w:rPr>
        <w:drawing>
          <wp:inline distT="0" distB="0" distL="0" distR="0" wp14:anchorId="396FF332" wp14:editId="16D194D1">
            <wp:extent cx="5727700" cy="2793365"/>
            <wp:effectExtent l="0" t="0" r="0" b="0"/>
            <wp:docPr id="17" name="Picture 1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O 2023-2027 - Page 1-5.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27700" cy="2793365"/>
                    </a:xfrm>
                    <a:prstGeom prst="rect">
                      <a:avLst/>
                    </a:prstGeom>
                  </pic:spPr>
                </pic:pic>
              </a:graphicData>
            </a:graphic>
          </wp:inline>
        </w:drawing>
      </w:r>
    </w:p>
    <w:p w14:paraId="46D97E2C" w14:textId="77777777" w:rsidR="005B2CC9" w:rsidRPr="00E205A1" w:rsidRDefault="005B2CC9" w:rsidP="005B2CC9">
      <w:pPr>
        <w:pStyle w:val="ListParagraph"/>
        <w:numPr>
          <w:ilvl w:val="0"/>
          <w:numId w:val="2"/>
        </w:numPr>
        <w:jc w:val="both"/>
        <w:rPr>
          <w:lang w:val="en-GB"/>
        </w:rPr>
      </w:pPr>
      <w:r w:rsidRPr="00E205A1">
        <w:rPr>
          <w:lang w:val="en-GB"/>
        </w:rPr>
        <w:t xml:space="preserve">The first figure represents 80% money of OPII distributed by specific objectives 7.3, 7.4, 7.5, 7.7 and 7.8. </w:t>
      </w:r>
      <w:r w:rsidR="00AD0E96" w:rsidRPr="00E205A1">
        <w:rPr>
          <w:lang w:val="en-GB"/>
        </w:rPr>
        <w:t>Activities that will be supported in programming period 2021-2027 in different perspective of strategy are marked with blue square. Activities that will not be eligible for EU funding in next</w:t>
      </w:r>
      <w:r w:rsidR="002F59B0" w:rsidRPr="00E205A1">
        <w:rPr>
          <w:lang w:val="en-GB"/>
        </w:rPr>
        <w:t xml:space="preserve"> programming</w:t>
      </w:r>
      <w:r w:rsidR="00AD0E96" w:rsidRPr="00E205A1">
        <w:rPr>
          <w:lang w:val="en-GB"/>
        </w:rPr>
        <w:t xml:space="preserve"> period are marked with grey square. </w:t>
      </w:r>
    </w:p>
    <w:p w14:paraId="20CA3F18" w14:textId="77777777" w:rsidR="005B2CC9" w:rsidRPr="00E205A1" w:rsidRDefault="005B2CC9" w:rsidP="005B2CC9">
      <w:pPr>
        <w:pStyle w:val="ListParagraph"/>
        <w:numPr>
          <w:ilvl w:val="0"/>
          <w:numId w:val="2"/>
        </w:numPr>
        <w:jc w:val="both"/>
        <w:rPr>
          <w:lang w:val="en-GB"/>
        </w:rPr>
      </w:pPr>
      <w:r w:rsidRPr="00E205A1">
        <w:rPr>
          <w:lang w:val="en-GB"/>
        </w:rPr>
        <w:t xml:space="preserve">The support goes to continue perspective mostly to building more new electronic services, government cloud and electronic workflow and paperless institutions. Last but not least money was focused to improve the backbone for core data and backbone for central services which are part of the eGOV Act and central architecture model. </w:t>
      </w:r>
    </w:p>
    <w:p w14:paraId="09E33EC8" w14:textId="77777777" w:rsidR="005B2CC9" w:rsidRPr="00E205A1" w:rsidRDefault="005B2CC9" w:rsidP="005B2CC9">
      <w:pPr>
        <w:pStyle w:val="ListParagraph"/>
        <w:numPr>
          <w:ilvl w:val="0"/>
          <w:numId w:val="2"/>
        </w:numPr>
        <w:jc w:val="both"/>
        <w:rPr>
          <w:lang w:val="en-GB"/>
        </w:rPr>
      </w:pPr>
      <w:r w:rsidRPr="00E205A1">
        <w:rPr>
          <w:lang w:val="en-GB"/>
        </w:rPr>
        <w:t xml:space="preserve">We have also </w:t>
      </w:r>
      <w:proofErr w:type="spellStart"/>
      <w:r w:rsidRPr="00E205A1">
        <w:rPr>
          <w:lang w:val="en-GB"/>
        </w:rPr>
        <w:t>rollpout</w:t>
      </w:r>
      <w:proofErr w:type="spellEnd"/>
      <w:r w:rsidRPr="00E205A1">
        <w:rPr>
          <w:lang w:val="en-GB"/>
        </w:rPr>
        <w:t xml:space="preserve"> very successfully data integration, the „once only” principle is taken place in all national and specific demand-oriented calls to build solid majority systems integrated to each other. Programming period 2014-2020 introduced entry money to support business intelligence, my data, and data quality to ease acceptance and create innovators and early adaptors among public institution. The same tactic was taken in services aside of strategy to improve UX and CX, launched OPEN API component and product management office aimed to lean, continue front end and GUI improvements. </w:t>
      </w:r>
    </w:p>
    <w:p w14:paraId="6DEC47EF" w14:textId="77777777" w:rsidR="00E205A1" w:rsidRPr="00E205A1" w:rsidRDefault="005B2CC9" w:rsidP="00E205A1">
      <w:pPr>
        <w:pStyle w:val="ListParagraph"/>
        <w:numPr>
          <w:ilvl w:val="0"/>
          <w:numId w:val="2"/>
        </w:numPr>
        <w:jc w:val="both"/>
        <w:rPr>
          <w:lang w:val="en-GB"/>
        </w:rPr>
      </w:pPr>
      <w:r w:rsidRPr="00E205A1">
        <w:rPr>
          <w:lang w:val="en-GB"/>
        </w:rPr>
        <w:t>Specific position in delivering IT strategy has the Data office and Behavioural office, project of OPEPA ensuring central expert capacities for data and services. Third component in the figure, financed by OPEPA, but still having a crucial role in IT strategy is Business analytical actions. Outputs of this actions are optimized backend processes of public institutions that will be implemented to the IT systems. Its coordination is held by Ministry of interior affairs</w:t>
      </w:r>
    </w:p>
    <w:p w14:paraId="1C908E64" w14:textId="77777777" w:rsidR="00E205A1" w:rsidRPr="00E205A1" w:rsidRDefault="00E205A1" w:rsidP="00E205A1">
      <w:pPr>
        <w:pStyle w:val="ListParagraph"/>
        <w:ind w:left="360"/>
        <w:jc w:val="both"/>
        <w:rPr>
          <w:lang w:val="en-GB"/>
        </w:rPr>
      </w:pPr>
    </w:p>
    <w:p w14:paraId="70B361D3" w14:textId="77777777" w:rsidR="00C739ED" w:rsidRPr="00E205A1" w:rsidRDefault="00C739ED" w:rsidP="00C758EE">
      <w:pPr>
        <w:pStyle w:val="Heading1"/>
        <w:rPr>
          <w:lang w:val="en-GB"/>
        </w:rPr>
      </w:pPr>
      <w:r w:rsidRPr="00E205A1">
        <w:rPr>
          <w:lang w:val="en-GB"/>
        </w:rPr>
        <w:t>CHAPTER TWO: PROGRAMMING PERIOD 2021-2027</w:t>
      </w:r>
    </w:p>
    <w:p w14:paraId="2CBCD124" w14:textId="77777777" w:rsidR="004F5BC8" w:rsidRPr="00E205A1" w:rsidRDefault="004F5BC8" w:rsidP="0079300A">
      <w:pPr>
        <w:jc w:val="both"/>
        <w:rPr>
          <w:lang w:val="en-GB"/>
        </w:rPr>
      </w:pPr>
    </w:p>
    <w:p w14:paraId="62B024B9" w14:textId="77777777" w:rsidR="00204C98" w:rsidRPr="00E205A1" w:rsidRDefault="00EB1C3C" w:rsidP="00CC3F03">
      <w:pPr>
        <w:pStyle w:val="Heading2"/>
        <w:rPr>
          <w:lang w:val="en-GB"/>
        </w:rPr>
      </w:pPr>
      <w:r w:rsidRPr="00E205A1">
        <w:rPr>
          <w:sz w:val="72"/>
          <w:szCs w:val="72"/>
          <w:lang w:val="en-GB"/>
        </w:rPr>
        <w:lastRenderedPageBreak/>
        <w:t>1</w:t>
      </w:r>
      <w:r w:rsidR="000E38F4" w:rsidRPr="00E205A1">
        <w:rPr>
          <w:sz w:val="72"/>
          <w:szCs w:val="72"/>
          <w:lang w:val="en-GB"/>
        </w:rPr>
        <w:t xml:space="preserve">. </w:t>
      </w:r>
      <w:r w:rsidR="00922777" w:rsidRPr="00E205A1">
        <w:rPr>
          <w:lang w:val="en-GB"/>
        </w:rPr>
        <w:t>SECTION: PROJECT</w:t>
      </w:r>
      <w:r w:rsidR="00AD0E96" w:rsidRPr="00E205A1">
        <w:rPr>
          <w:lang w:val="en-GB"/>
        </w:rPr>
        <w:t>S</w:t>
      </w:r>
    </w:p>
    <w:p w14:paraId="1A7DB476" w14:textId="77777777" w:rsidR="00362CC2" w:rsidRPr="00E205A1" w:rsidRDefault="0022670B" w:rsidP="00362CC2">
      <w:pPr>
        <w:pStyle w:val="ListParagraph"/>
        <w:numPr>
          <w:ilvl w:val="0"/>
          <w:numId w:val="4"/>
        </w:numPr>
        <w:jc w:val="both"/>
        <w:rPr>
          <w:lang w:val="en-GB"/>
        </w:rPr>
      </w:pPr>
      <w:r w:rsidRPr="00E205A1">
        <w:rPr>
          <w:noProof/>
          <w:lang w:val="en-GB"/>
        </w:rPr>
        <w:drawing>
          <wp:anchor distT="0" distB="0" distL="114300" distR="114300" simplePos="0" relativeHeight="251666432" behindDoc="0" locked="0" layoutInCell="1" allowOverlap="1" wp14:anchorId="0146CCA1" wp14:editId="1424E088">
            <wp:simplePos x="0" y="0"/>
            <wp:positionH relativeFrom="column">
              <wp:posOffset>42690</wp:posOffset>
            </wp:positionH>
            <wp:positionV relativeFrom="paragraph">
              <wp:posOffset>610870</wp:posOffset>
            </wp:positionV>
            <wp:extent cx="3520440" cy="3033395"/>
            <wp:effectExtent l="0" t="0" r="0" b="0"/>
            <wp:wrapSquare wrapText="bothSides"/>
            <wp:docPr id="16" name="Picture 1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 2023-2027 - Page 2-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20440" cy="3033395"/>
                    </a:xfrm>
                    <a:prstGeom prst="rect">
                      <a:avLst/>
                    </a:prstGeom>
                  </pic:spPr>
                </pic:pic>
              </a:graphicData>
            </a:graphic>
            <wp14:sizeRelH relativeFrom="page">
              <wp14:pctWidth>0</wp14:pctWidth>
            </wp14:sizeRelH>
            <wp14:sizeRelV relativeFrom="page">
              <wp14:pctHeight>0</wp14:pctHeight>
            </wp14:sizeRelV>
          </wp:anchor>
        </w:drawing>
      </w:r>
      <w:r w:rsidR="00AD0E96" w:rsidRPr="00E205A1">
        <w:rPr>
          <w:lang w:val="en-GB"/>
        </w:rPr>
        <w:t>The demand-oriented project calls were tested in government IT. This</w:t>
      </w:r>
      <w:r w:rsidR="00CC3F03" w:rsidRPr="00E205A1">
        <w:rPr>
          <w:lang w:val="en-GB"/>
        </w:rPr>
        <w:t xml:space="preserve"> </w:t>
      </w:r>
      <w:r w:rsidR="00AD0E96" w:rsidRPr="00E205A1">
        <w:rPr>
          <w:lang w:val="en-GB"/>
        </w:rPr>
        <w:t>new</w:t>
      </w:r>
      <w:r w:rsidR="00CC3F03" w:rsidRPr="00E205A1">
        <w:rPr>
          <w:lang w:val="en-GB"/>
        </w:rPr>
        <w:t xml:space="preserve"> element</w:t>
      </w:r>
      <w:r w:rsidR="00AD0E96" w:rsidRPr="00E205A1">
        <w:rPr>
          <w:lang w:val="en-GB"/>
        </w:rPr>
        <w:t xml:space="preserve"> has taken</w:t>
      </w:r>
      <w:r w:rsidR="009808B0" w:rsidRPr="00E205A1">
        <w:rPr>
          <w:lang w:val="en-GB"/>
        </w:rPr>
        <w:t xml:space="preserve"> place at the second half of </w:t>
      </w:r>
      <w:r w:rsidR="00A51F4F" w:rsidRPr="00E205A1">
        <w:rPr>
          <w:lang w:val="en-GB"/>
        </w:rPr>
        <w:t xml:space="preserve">the </w:t>
      </w:r>
      <w:r w:rsidR="009808B0" w:rsidRPr="00E205A1">
        <w:rPr>
          <w:lang w:val="en-GB"/>
        </w:rPr>
        <w:t>programming phase</w:t>
      </w:r>
      <w:r w:rsidR="00AD0E96" w:rsidRPr="00E205A1">
        <w:rPr>
          <w:lang w:val="en-GB"/>
        </w:rPr>
        <w:t xml:space="preserve"> 2014-2020</w:t>
      </w:r>
      <w:r w:rsidR="009808B0" w:rsidRPr="00E205A1">
        <w:rPr>
          <w:lang w:val="en-GB"/>
        </w:rPr>
        <w:t xml:space="preserve">. This </w:t>
      </w:r>
      <w:r w:rsidR="00B456A7" w:rsidRPr="00E205A1">
        <w:rPr>
          <w:lang w:val="en-GB"/>
        </w:rPr>
        <w:t>kind</w:t>
      </w:r>
      <w:r w:rsidR="009808B0" w:rsidRPr="00E205A1">
        <w:rPr>
          <w:lang w:val="en-GB"/>
        </w:rPr>
        <w:t xml:space="preserve"> of project</w:t>
      </w:r>
      <w:r w:rsidR="00922777" w:rsidRPr="00E205A1">
        <w:rPr>
          <w:lang w:val="en-GB"/>
        </w:rPr>
        <w:t>s</w:t>
      </w:r>
      <w:r w:rsidR="009808B0" w:rsidRPr="00E205A1">
        <w:rPr>
          <w:lang w:val="en-GB"/>
        </w:rPr>
        <w:t xml:space="preserve"> </w:t>
      </w:r>
      <w:r w:rsidR="001A3DD0" w:rsidRPr="00E205A1">
        <w:rPr>
          <w:lang w:val="en-GB"/>
        </w:rPr>
        <w:t>was</w:t>
      </w:r>
      <w:r w:rsidR="00F114A5" w:rsidRPr="00E205A1">
        <w:rPr>
          <w:lang w:val="en-GB"/>
        </w:rPr>
        <w:t xml:space="preserve"> </w:t>
      </w:r>
      <w:r w:rsidR="009808B0" w:rsidRPr="00E205A1">
        <w:rPr>
          <w:lang w:val="en-GB"/>
        </w:rPr>
        <w:t>small scale, it support</w:t>
      </w:r>
      <w:r w:rsidR="00A51F4F" w:rsidRPr="00E205A1">
        <w:rPr>
          <w:lang w:val="en-GB"/>
        </w:rPr>
        <w:t>ed</w:t>
      </w:r>
      <w:r w:rsidR="009808B0" w:rsidRPr="00E205A1">
        <w:rPr>
          <w:lang w:val="en-GB"/>
        </w:rPr>
        <w:t xml:space="preserve"> competitiveness between applicants but most important it strongly h</w:t>
      </w:r>
      <w:r w:rsidR="00A51F4F" w:rsidRPr="00E205A1">
        <w:rPr>
          <w:lang w:val="en-GB"/>
        </w:rPr>
        <w:t>e</w:t>
      </w:r>
      <w:r w:rsidR="009808B0" w:rsidRPr="00E205A1">
        <w:rPr>
          <w:lang w:val="en-GB"/>
        </w:rPr>
        <w:t>ld the strategy t</w:t>
      </w:r>
      <w:r w:rsidR="00A51F4F" w:rsidRPr="00E205A1">
        <w:rPr>
          <w:lang w:val="en-GB"/>
        </w:rPr>
        <w:t>o be open</w:t>
      </w:r>
      <w:r w:rsidR="009808B0" w:rsidRPr="00E205A1">
        <w:rPr>
          <w:lang w:val="en-GB"/>
        </w:rPr>
        <w:t xml:space="preserve"> and reachable to all who want to apply</w:t>
      </w:r>
      <w:r w:rsidR="00922777" w:rsidRPr="00E205A1">
        <w:rPr>
          <w:lang w:val="en-GB"/>
        </w:rPr>
        <w:t>. Calls requirements</w:t>
      </w:r>
      <w:r w:rsidR="009808B0" w:rsidRPr="00E205A1">
        <w:rPr>
          <w:lang w:val="en-GB"/>
        </w:rPr>
        <w:t xml:space="preserve"> </w:t>
      </w:r>
      <w:r w:rsidR="00922777" w:rsidRPr="00E205A1">
        <w:rPr>
          <w:lang w:val="en-GB"/>
        </w:rPr>
        <w:t>cannot</w:t>
      </w:r>
      <w:r w:rsidR="009808B0" w:rsidRPr="00E205A1">
        <w:rPr>
          <w:lang w:val="en-GB"/>
        </w:rPr>
        <w:t xml:space="preserve"> be </w:t>
      </w:r>
      <w:r w:rsidR="00A51F4F" w:rsidRPr="00E205A1">
        <w:rPr>
          <w:lang w:val="en-GB"/>
        </w:rPr>
        <w:t>misplaced</w:t>
      </w:r>
      <w:r w:rsidR="009808B0" w:rsidRPr="00E205A1">
        <w:rPr>
          <w:lang w:val="en-GB"/>
        </w:rPr>
        <w:t xml:space="preserve"> in projects. </w:t>
      </w:r>
      <w:r w:rsidR="00922777" w:rsidRPr="00E205A1">
        <w:rPr>
          <w:lang w:val="en-GB"/>
        </w:rPr>
        <w:t>Therefore,</w:t>
      </w:r>
      <w:r w:rsidR="009808B0" w:rsidRPr="00E205A1">
        <w:rPr>
          <w:lang w:val="en-GB"/>
        </w:rPr>
        <w:t xml:space="preserve"> project</w:t>
      </w:r>
      <w:r w:rsidR="00922777" w:rsidRPr="00E205A1">
        <w:rPr>
          <w:lang w:val="en-GB"/>
        </w:rPr>
        <w:t>s</w:t>
      </w:r>
      <w:r w:rsidR="009808B0" w:rsidRPr="00E205A1">
        <w:rPr>
          <w:lang w:val="en-GB"/>
        </w:rPr>
        <w:t xml:space="preserve"> are lean and focused on delivery fitting to</w:t>
      </w:r>
      <w:r w:rsidR="00A51F4F" w:rsidRPr="00E205A1">
        <w:rPr>
          <w:lang w:val="en-GB"/>
        </w:rPr>
        <w:t xml:space="preserve"> the</w:t>
      </w:r>
      <w:r w:rsidR="009808B0" w:rsidRPr="00E205A1">
        <w:rPr>
          <w:lang w:val="en-GB"/>
        </w:rPr>
        <w:t xml:space="preserve"> national strategy. </w:t>
      </w:r>
    </w:p>
    <w:p w14:paraId="6380D1E1" w14:textId="77777777" w:rsidR="00362CC2" w:rsidRPr="00E205A1" w:rsidRDefault="009808B0" w:rsidP="00362CC2">
      <w:pPr>
        <w:pStyle w:val="ListParagraph"/>
        <w:numPr>
          <w:ilvl w:val="0"/>
          <w:numId w:val="4"/>
        </w:numPr>
        <w:jc w:val="both"/>
        <w:rPr>
          <w:lang w:val="en-GB"/>
        </w:rPr>
      </w:pPr>
      <w:r w:rsidRPr="00E205A1">
        <w:rPr>
          <w:lang w:val="en-GB"/>
        </w:rPr>
        <w:t xml:space="preserve">However, this kind of </w:t>
      </w:r>
      <w:r w:rsidR="00362CC2" w:rsidRPr="00E205A1">
        <w:rPr>
          <w:lang w:val="en-GB"/>
        </w:rPr>
        <w:t>calls are not suitable</w:t>
      </w:r>
      <w:r w:rsidR="008C18FF" w:rsidRPr="00E205A1">
        <w:rPr>
          <w:lang w:val="en-GB"/>
        </w:rPr>
        <w:t xml:space="preserve"> when you are building</w:t>
      </w:r>
      <w:r w:rsidR="00F114A5" w:rsidRPr="00E205A1">
        <w:rPr>
          <w:lang w:val="en-GB"/>
        </w:rPr>
        <w:t xml:space="preserve"> or improving</w:t>
      </w:r>
      <w:r w:rsidR="008C18FF" w:rsidRPr="00E205A1">
        <w:rPr>
          <w:lang w:val="en-GB"/>
        </w:rPr>
        <w:t xml:space="preserve"> the</w:t>
      </w:r>
      <w:r w:rsidR="00F114A5" w:rsidRPr="00E205A1">
        <w:rPr>
          <w:lang w:val="en-GB"/>
        </w:rPr>
        <w:t xml:space="preserve"> </w:t>
      </w:r>
      <w:r w:rsidRPr="00E205A1">
        <w:rPr>
          <w:lang w:val="en-GB"/>
        </w:rPr>
        <w:t xml:space="preserve">backbone for central services or data. Due to this fact we will keep small proportion of funding in national </w:t>
      </w:r>
      <w:r w:rsidR="00922777" w:rsidRPr="00E205A1">
        <w:rPr>
          <w:lang w:val="en-GB"/>
        </w:rPr>
        <w:t xml:space="preserve">project calls for proposals. </w:t>
      </w:r>
    </w:p>
    <w:p w14:paraId="60009BB9" w14:textId="77777777" w:rsidR="00922777" w:rsidRPr="00E205A1" w:rsidRDefault="00922777" w:rsidP="00362CC2">
      <w:pPr>
        <w:pStyle w:val="ListParagraph"/>
        <w:numPr>
          <w:ilvl w:val="0"/>
          <w:numId w:val="4"/>
        </w:numPr>
        <w:jc w:val="both"/>
        <w:rPr>
          <w:lang w:val="en-GB"/>
        </w:rPr>
      </w:pPr>
      <w:r w:rsidRPr="00E205A1">
        <w:rPr>
          <w:lang w:val="en-GB"/>
        </w:rPr>
        <w:t xml:space="preserve">We are also introducing inhouse development which is explained in section NEW TOOLS. </w:t>
      </w:r>
    </w:p>
    <w:p w14:paraId="1262F322" w14:textId="77777777" w:rsidR="00FE4521" w:rsidRPr="00E205A1" w:rsidRDefault="000E38F4" w:rsidP="000D164A">
      <w:pPr>
        <w:pStyle w:val="Heading2"/>
        <w:rPr>
          <w:lang w:val="en-GB"/>
        </w:rPr>
      </w:pPr>
      <w:r w:rsidRPr="00E205A1">
        <w:rPr>
          <w:sz w:val="72"/>
          <w:szCs w:val="72"/>
          <w:lang w:val="en-GB"/>
        </w:rPr>
        <w:t>2.</w:t>
      </w:r>
      <w:r w:rsidRPr="00E205A1">
        <w:rPr>
          <w:lang w:val="en-GB"/>
        </w:rPr>
        <w:t xml:space="preserve"> </w:t>
      </w:r>
      <w:r w:rsidR="00204C98" w:rsidRPr="00E205A1">
        <w:rPr>
          <w:lang w:val="en-GB"/>
        </w:rPr>
        <w:t>S</w:t>
      </w:r>
      <w:r w:rsidR="00FE4521" w:rsidRPr="00E205A1">
        <w:rPr>
          <w:lang w:val="en-GB"/>
        </w:rPr>
        <w:t xml:space="preserve">ECTION: STATEGY </w:t>
      </w:r>
    </w:p>
    <w:p w14:paraId="79161A8B" w14:textId="77777777" w:rsidR="005B2CC9" w:rsidRPr="00E205A1" w:rsidRDefault="000D164A" w:rsidP="00362CC2">
      <w:pPr>
        <w:pStyle w:val="ListParagraph"/>
        <w:numPr>
          <w:ilvl w:val="0"/>
          <w:numId w:val="5"/>
        </w:numPr>
        <w:jc w:val="both"/>
        <w:rPr>
          <w:lang w:val="en-GB"/>
        </w:rPr>
      </w:pPr>
      <w:r w:rsidRPr="00E205A1">
        <w:rPr>
          <w:lang w:val="en-GB"/>
        </w:rPr>
        <w:t xml:space="preserve">Most elaborated strategies hardly </w:t>
      </w:r>
      <w:r w:rsidR="00220910" w:rsidRPr="00E205A1">
        <w:rPr>
          <w:lang w:val="en-GB"/>
        </w:rPr>
        <w:t>look</w:t>
      </w:r>
      <w:r w:rsidRPr="00E205A1">
        <w:rPr>
          <w:lang w:val="en-GB"/>
        </w:rPr>
        <w:t xml:space="preserve"> back and there are even less which declare</w:t>
      </w:r>
      <w:r w:rsidR="0034417A" w:rsidRPr="00E205A1">
        <w:rPr>
          <w:lang w:val="en-GB"/>
        </w:rPr>
        <w:t xml:space="preserve"> a</w:t>
      </w:r>
      <w:r w:rsidRPr="00E205A1">
        <w:rPr>
          <w:lang w:val="en-GB"/>
        </w:rPr>
        <w:t xml:space="preserve"> follow up on the effort and money spent in past. </w:t>
      </w:r>
      <w:r w:rsidR="0034417A" w:rsidRPr="00E205A1">
        <w:rPr>
          <w:lang w:val="en-GB"/>
        </w:rPr>
        <w:t xml:space="preserve">The </w:t>
      </w:r>
      <w:r w:rsidR="00362CC2" w:rsidRPr="00E205A1">
        <w:rPr>
          <w:lang w:val="en-GB"/>
        </w:rPr>
        <w:t>framework of</w:t>
      </w:r>
      <w:r w:rsidR="0034417A" w:rsidRPr="00E205A1">
        <w:rPr>
          <w:lang w:val="en-GB"/>
        </w:rPr>
        <w:t xml:space="preserve"> s</w:t>
      </w:r>
      <w:r w:rsidRPr="00E205A1">
        <w:rPr>
          <w:lang w:val="en-GB"/>
        </w:rPr>
        <w:t xml:space="preserve">trategy for </w:t>
      </w:r>
      <w:r w:rsidR="0034417A" w:rsidRPr="00E205A1">
        <w:rPr>
          <w:lang w:val="en-GB"/>
        </w:rPr>
        <w:t xml:space="preserve">the </w:t>
      </w:r>
      <w:r w:rsidRPr="00E205A1">
        <w:rPr>
          <w:lang w:val="en-GB"/>
        </w:rPr>
        <w:t>new programming period is not making this mistake and launch</w:t>
      </w:r>
      <w:r w:rsidR="0034417A" w:rsidRPr="00E205A1">
        <w:rPr>
          <w:lang w:val="en-GB"/>
        </w:rPr>
        <w:t>es</w:t>
      </w:r>
      <w:r w:rsidRPr="00E205A1">
        <w:rPr>
          <w:lang w:val="en-GB"/>
        </w:rPr>
        <w:t xml:space="preserve"> a new approac</w:t>
      </w:r>
      <w:r w:rsidR="00220910" w:rsidRPr="00E205A1">
        <w:rPr>
          <w:lang w:val="en-GB"/>
        </w:rPr>
        <w:t>h</w:t>
      </w:r>
      <w:r w:rsidRPr="00E205A1">
        <w:rPr>
          <w:lang w:val="en-GB"/>
        </w:rPr>
        <w:t xml:space="preserve">. The strategy is based on </w:t>
      </w:r>
      <w:r w:rsidR="00DF3537" w:rsidRPr="00E205A1">
        <w:rPr>
          <w:lang w:val="en-GB"/>
        </w:rPr>
        <w:t>perspectives</w:t>
      </w:r>
      <w:r w:rsidRPr="00E205A1">
        <w:rPr>
          <w:lang w:val="en-GB"/>
        </w:rPr>
        <w:t xml:space="preserve"> connecting programming periods.</w:t>
      </w:r>
    </w:p>
    <w:p w14:paraId="6005335E" w14:textId="77777777" w:rsidR="00FE4521" w:rsidRPr="00E205A1" w:rsidRDefault="00F114A5" w:rsidP="00361CEF">
      <w:pPr>
        <w:jc w:val="both"/>
        <w:rPr>
          <w:lang w:val="en-GB"/>
        </w:rPr>
      </w:pPr>
      <w:r w:rsidRPr="00E205A1">
        <w:rPr>
          <w:lang w:val="en-GB"/>
        </w:rPr>
        <w:t>.</w:t>
      </w:r>
    </w:p>
    <w:p w14:paraId="42907424" w14:textId="77777777" w:rsidR="00FE4521" w:rsidRPr="00E205A1" w:rsidRDefault="0022670B">
      <w:pPr>
        <w:rPr>
          <w:lang w:val="en-GB"/>
        </w:rPr>
      </w:pPr>
      <w:r w:rsidRPr="00E205A1">
        <w:rPr>
          <w:noProof/>
          <w:lang w:val="en-GB"/>
        </w:rPr>
        <w:lastRenderedPageBreak/>
        <w:drawing>
          <wp:inline distT="0" distB="0" distL="0" distR="0" wp14:anchorId="65C6830B" wp14:editId="0B9E26D6">
            <wp:extent cx="5727700" cy="2776855"/>
            <wp:effectExtent l="0" t="0" r="0" b="0"/>
            <wp:docPr id="19" name="Picture 19"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O 2023-2027 - Page 1-6.png"/>
                    <pic:cNvPicPr/>
                  </pic:nvPicPr>
                  <pic:blipFill>
                    <a:blip r:embed="rId16">
                      <a:extLst>
                        <a:ext uri="{28A0092B-C50C-407E-A947-70E740481C1C}">
                          <a14:useLocalDpi xmlns:a14="http://schemas.microsoft.com/office/drawing/2010/main" val="0"/>
                        </a:ext>
                      </a:extLst>
                    </a:blip>
                    <a:stretch>
                      <a:fillRect/>
                    </a:stretch>
                  </pic:blipFill>
                  <pic:spPr>
                    <a:xfrm>
                      <a:off x="0" y="0"/>
                      <a:ext cx="5727700" cy="2776855"/>
                    </a:xfrm>
                    <a:prstGeom prst="rect">
                      <a:avLst/>
                    </a:prstGeom>
                  </pic:spPr>
                </pic:pic>
              </a:graphicData>
            </a:graphic>
          </wp:inline>
        </w:drawing>
      </w:r>
    </w:p>
    <w:p w14:paraId="3AC45E7F" w14:textId="77777777" w:rsidR="00A7486E" w:rsidRPr="00E205A1" w:rsidRDefault="00361CEF" w:rsidP="005947D8">
      <w:pPr>
        <w:pStyle w:val="ListParagraph"/>
        <w:numPr>
          <w:ilvl w:val="0"/>
          <w:numId w:val="5"/>
        </w:numPr>
        <w:jc w:val="both"/>
        <w:rPr>
          <w:lang w:val="en-GB"/>
        </w:rPr>
      </w:pPr>
      <w:r w:rsidRPr="00E205A1">
        <w:rPr>
          <w:lang w:val="en-GB"/>
        </w:rPr>
        <w:t>The programming period</w:t>
      </w:r>
      <w:r w:rsidR="00362CC2" w:rsidRPr="00E205A1">
        <w:rPr>
          <w:lang w:val="en-GB"/>
        </w:rPr>
        <w:t xml:space="preserve"> 2021-2027</w:t>
      </w:r>
      <w:r w:rsidRPr="00E205A1">
        <w:rPr>
          <w:lang w:val="en-GB"/>
        </w:rPr>
        <w:t xml:space="preserve"> strategy</w:t>
      </w:r>
      <w:r w:rsidR="00362CC2" w:rsidRPr="00E205A1">
        <w:rPr>
          <w:lang w:val="en-GB"/>
        </w:rPr>
        <w:t xml:space="preserve"> is</w:t>
      </w:r>
      <w:r w:rsidRPr="00E205A1">
        <w:rPr>
          <w:lang w:val="en-GB"/>
        </w:rPr>
        <w:t xml:space="preserve"> </w:t>
      </w:r>
      <w:r w:rsidR="00F114A5" w:rsidRPr="00E205A1">
        <w:rPr>
          <w:lang w:val="en-GB"/>
        </w:rPr>
        <w:t xml:space="preserve">supporting </w:t>
      </w:r>
      <w:r w:rsidR="00E2097E" w:rsidRPr="00E205A1">
        <w:rPr>
          <w:lang w:val="en-GB"/>
        </w:rPr>
        <w:t xml:space="preserve">government </w:t>
      </w:r>
      <w:r w:rsidRPr="00E205A1">
        <w:rPr>
          <w:lang w:val="en-GB"/>
        </w:rPr>
        <w:t xml:space="preserve">digital transformation </w:t>
      </w:r>
      <w:r w:rsidR="005E1786" w:rsidRPr="00E205A1">
        <w:rPr>
          <w:lang w:val="en-GB"/>
        </w:rPr>
        <w:t>based</w:t>
      </w:r>
      <w:r w:rsidRPr="00E205A1">
        <w:rPr>
          <w:lang w:val="en-GB"/>
        </w:rPr>
        <w:t xml:space="preserve"> </w:t>
      </w:r>
      <w:r w:rsidR="005E1786" w:rsidRPr="00E205A1">
        <w:rPr>
          <w:lang w:val="en-GB"/>
        </w:rPr>
        <w:t>on</w:t>
      </w:r>
      <w:r w:rsidRPr="00E205A1">
        <w:rPr>
          <w:lang w:val="en-GB"/>
        </w:rPr>
        <w:t xml:space="preserve"> two mayor </w:t>
      </w:r>
      <w:r w:rsidR="005E1786" w:rsidRPr="00E205A1">
        <w:rPr>
          <w:lang w:val="en-GB"/>
        </w:rPr>
        <w:t>priorities</w:t>
      </w:r>
      <w:r w:rsidRPr="00E205A1">
        <w:rPr>
          <w:lang w:val="en-GB"/>
        </w:rPr>
        <w:t xml:space="preserve">: reducing </w:t>
      </w:r>
      <w:r w:rsidR="005E1786" w:rsidRPr="00E205A1">
        <w:rPr>
          <w:lang w:val="en-GB"/>
        </w:rPr>
        <w:t xml:space="preserve">bureaucracy </w:t>
      </w:r>
      <w:r w:rsidRPr="00E205A1">
        <w:rPr>
          <w:lang w:val="en-GB"/>
        </w:rPr>
        <w:t>burden and government as a platform.</w:t>
      </w:r>
      <w:r w:rsidR="005E1786" w:rsidRPr="00E205A1">
        <w:rPr>
          <w:lang w:val="en-GB"/>
        </w:rPr>
        <w:t xml:space="preserve"> </w:t>
      </w:r>
    </w:p>
    <w:p w14:paraId="1A6A0AAD" w14:textId="77777777" w:rsidR="00362CC2" w:rsidRPr="00E205A1" w:rsidRDefault="005E1786" w:rsidP="000877B6">
      <w:pPr>
        <w:pStyle w:val="ListParagraph"/>
        <w:numPr>
          <w:ilvl w:val="0"/>
          <w:numId w:val="5"/>
        </w:numPr>
        <w:jc w:val="both"/>
        <w:rPr>
          <w:lang w:val="en-GB"/>
        </w:rPr>
      </w:pPr>
      <w:r w:rsidRPr="00E205A1">
        <w:rPr>
          <w:lang w:val="en-GB"/>
        </w:rPr>
        <w:t xml:space="preserve">The long hanging fruits in reducing bureaucracy is </w:t>
      </w:r>
      <w:r w:rsidRPr="00E205A1">
        <w:rPr>
          <w:b/>
          <w:bCs/>
          <w:lang w:val="en-GB"/>
        </w:rPr>
        <w:t>data integration</w:t>
      </w:r>
      <w:r w:rsidRPr="00E205A1">
        <w:rPr>
          <w:lang w:val="en-GB"/>
        </w:rPr>
        <w:t xml:space="preserve"> which needs to be supported to acquire late majority public intuitions. Moreover, </w:t>
      </w:r>
      <w:r w:rsidR="0037362B" w:rsidRPr="00E205A1">
        <w:rPr>
          <w:lang w:val="en-GB"/>
        </w:rPr>
        <w:t xml:space="preserve">we keep supporting </w:t>
      </w:r>
      <w:r w:rsidR="0037362B" w:rsidRPr="00E205A1">
        <w:rPr>
          <w:b/>
          <w:bCs/>
          <w:lang w:val="en-GB"/>
        </w:rPr>
        <w:t>B</w:t>
      </w:r>
      <w:r w:rsidRPr="00E205A1">
        <w:rPr>
          <w:b/>
          <w:bCs/>
          <w:lang w:val="en-GB"/>
        </w:rPr>
        <w:t>ackbone for core data</w:t>
      </w:r>
      <w:r w:rsidRPr="00E205A1">
        <w:rPr>
          <w:lang w:val="en-GB"/>
        </w:rPr>
        <w:t xml:space="preserve"> and </w:t>
      </w:r>
      <w:r w:rsidR="0037362B" w:rsidRPr="00E205A1">
        <w:rPr>
          <w:b/>
          <w:bCs/>
          <w:lang w:val="en-GB"/>
        </w:rPr>
        <w:t>D</w:t>
      </w:r>
      <w:r w:rsidRPr="00E205A1">
        <w:rPr>
          <w:b/>
          <w:bCs/>
          <w:lang w:val="en-GB"/>
        </w:rPr>
        <w:t>ata office</w:t>
      </w:r>
      <w:r w:rsidR="0037362B" w:rsidRPr="00E205A1">
        <w:rPr>
          <w:lang w:val="en-GB"/>
        </w:rPr>
        <w:t xml:space="preserve"> which</w:t>
      </w:r>
      <w:r w:rsidRPr="00E205A1">
        <w:rPr>
          <w:lang w:val="en-GB"/>
        </w:rPr>
        <w:t xml:space="preserve"> will </w:t>
      </w:r>
      <w:r w:rsidR="0037362B" w:rsidRPr="00E205A1">
        <w:rPr>
          <w:lang w:val="en-GB"/>
        </w:rPr>
        <w:t xml:space="preserve">need to reflect new components in </w:t>
      </w:r>
      <w:r w:rsidR="00DF3537" w:rsidRPr="00E205A1">
        <w:rPr>
          <w:lang w:val="en-GB"/>
        </w:rPr>
        <w:t>rollout</w:t>
      </w:r>
      <w:r w:rsidR="0037362B" w:rsidRPr="00E205A1">
        <w:rPr>
          <w:lang w:val="en-GB"/>
        </w:rPr>
        <w:t xml:space="preserve"> </w:t>
      </w:r>
      <w:r w:rsidR="00DF3537" w:rsidRPr="00E205A1">
        <w:rPr>
          <w:lang w:val="en-GB"/>
        </w:rPr>
        <w:t>perspective</w:t>
      </w:r>
      <w:r w:rsidR="0037362B" w:rsidRPr="00E205A1">
        <w:rPr>
          <w:lang w:val="en-GB"/>
        </w:rPr>
        <w:t xml:space="preserve">. </w:t>
      </w:r>
      <w:r w:rsidR="00F114A5" w:rsidRPr="00E205A1">
        <w:rPr>
          <w:b/>
          <w:bCs/>
          <w:lang w:val="en-GB"/>
        </w:rPr>
        <w:t>Open data</w:t>
      </w:r>
      <w:r w:rsidR="00F114A5" w:rsidRPr="00E205A1">
        <w:rPr>
          <w:lang w:val="en-GB"/>
        </w:rPr>
        <w:t xml:space="preserve"> will continue to </w:t>
      </w:r>
      <w:r w:rsidR="00DF3537" w:rsidRPr="00E205A1">
        <w:rPr>
          <w:lang w:val="en-GB"/>
        </w:rPr>
        <w:t>react</w:t>
      </w:r>
      <w:r w:rsidR="00F114A5" w:rsidRPr="00E205A1">
        <w:rPr>
          <w:lang w:val="en-GB"/>
        </w:rPr>
        <w:t xml:space="preserve"> not only </w:t>
      </w:r>
      <w:r w:rsidR="00DF3537" w:rsidRPr="00E205A1">
        <w:rPr>
          <w:lang w:val="en-GB"/>
        </w:rPr>
        <w:t>on</w:t>
      </w:r>
      <w:r w:rsidR="00F114A5" w:rsidRPr="00E205A1">
        <w:rPr>
          <w:lang w:val="en-GB"/>
        </w:rPr>
        <w:t xml:space="preserve"> </w:t>
      </w:r>
      <w:r w:rsidR="00FB3441" w:rsidRPr="00E205A1">
        <w:rPr>
          <w:lang w:val="en-GB"/>
        </w:rPr>
        <w:t xml:space="preserve">the </w:t>
      </w:r>
      <w:r w:rsidR="00F114A5" w:rsidRPr="00E205A1">
        <w:rPr>
          <w:lang w:val="en-GB"/>
        </w:rPr>
        <w:t xml:space="preserve">transparency point of view but also to create </w:t>
      </w:r>
      <w:r w:rsidR="00B8589D" w:rsidRPr="00E205A1">
        <w:rPr>
          <w:lang w:val="en-GB"/>
        </w:rPr>
        <w:t>opportunities</w:t>
      </w:r>
      <w:r w:rsidR="00F114A5" w:rsidRPr="00E205A1">
        <w:rPr>
          <w:lang w:val="en-GB"/>
        </w:rPr>
        <w:t xml:space="preserve"> for third entities</w:t>
      </w:r>
      <w:r w:rsidR="00FB3441" w:rsidRPr="00E205A1">
        <w:rPr>
          <w:lang w:val="en-GB"/>
        </w:rPr>
        <w:t xml:space="preserve"> that</w:t>
      </w:r>
      <w:r w:rsidR="00F114A5" w:rsidRPr="00E205A1">
        <w:rPr>
          <w:lang w:val="en-GB"/>
        </w:rPr>
        <w:t xml:space="preserve"> create apps and business. </w:t>
      </w:r>
    </w:p>
    <w:p w14:paraId="71284ED5" w14:textId="77777777" w:rsidR="00362CC2" w:rsidRPr="00E205A1" w:rsidRDefault="0037362B" w:rsidP="000877B6">
      <w:pPr>
        <w:pStyle w:val="ListParagraph"/>
        <w:numPr>
          <w:ilvl w:val="0"/>
          <w:numId w:val="5"/>
        </w:numPr>
        <w:jc w:val="both"/>
        <w:rPr>
          <w:lang w:val="en-GB"/>
        </w:rPr>
      </w:pPr>
      <w:r w:rsidRPr="00E205A1">
        <w:rPr>
          <w:lang w:val="en-GB"/>
        </w:rPr>
        <w:t xml:space="preserve">Rollout must be done in </w:t>
      </w:r>
      <w:r w:rsidRPr="00E205A1">
        <w:rPr>
          <w:b/>
          <w:bCs/>
          <w:lang w:val="en-GB"/>
        </w:rPr>
        <w:t>data quality</w:t>
      </w:r>
      <w:r w:rsidRPr="00E205A1">
        <w:rPr>
          <w:lang w:val="en-GB"/>
        </w:rPr>
        <w:t xml:space="preserve"> threat</w:t>
      </w:r>
      <w:r w:rsidR="00FB3441" w:rsidRPr="00E205A1">
        <w:rPr>
          <w:lang w:val="en-GB"/>
        </w:rPr>
        <w:t>en</w:t>
      </w:r>
      <w:r w:rsidRPr="00E205A1">
        <w:rPr>
          <w:lang w:val="en-GB"/>
        </w:rPr>
        <w:t xml:space="preserve">ing the whole </w:t>
      </w:r>
      <w:r w:rsidR="00FB3441" w:rsidRPr="00E205A1">
        <w:rPr>
          <w:lang w:val="en-GB"/>
        </w:rPr>
        <w:t>„</w:t>
      </w:r>
      <w:r w:rsidRPr="00E205A1">
        <w:rPr>
          <w:lang w:val="en-GB"/>
        </w:rPr>
        <w:t>once only</w:t>
      </w:r>
      <w:r w:rsidR="00FB3441" w:rsidRPr="00E205A1">
        <w:rPr>
          <w:lang w:val="en-GB"/>
        </w:rPr>
        <w:t>”</w:t>
      </w:r>
      <w:r w:rsidRPr="00E205A1">
        <w:rPr>
          <w:lang w:val="en-GB"/>
        </w:rPr>
        <w:t xml:space="preserve"> principle and trust between public institutions</w:t>
      </w:r>
      <w:r w:rsidR="00AD0E96" w:rsidRPr="00E205A1">
        <w:rPr>
          <w:lang w:val="en-GB"/>
        </w:rPr>
        <w:t xml:space="preserve"> in exchanging data</w:t>
      </w:r>
      <w:r w:rsidRPr="00E205A1">
        <w:rPr>
          <w:lang w:val="en-GB"/>
        </w:rPr>
        <w:t xml:space="preserve">. </w:t>
      </w:r>
      <w:r w:rsidRPr="00E205A1">
        <w:rPr>
          <w:b/>
          <w:bCs/>
          <w:lang w:val="en-GB"/>
        </w:rPr>
        <w:t>My data</w:t>
      </w:r>
      <w:r w:rsidRPr="00E205A1">
        <w:rPr>
          <w:lang w:val="en-GB"/>
        </w:rPr>
        <w:t xml:space="preserve"> as experiment will become mainstream in mobile and pc platform usable to </w:t>
      </w:r>
      <w:r w:rsidR="00F114A5" w:rsidRPr="00E205A1">
        <w:rPr>
          <w:lang w:val="en-GB"/>
        </w:rPr>
        <w:t>give,</w:t>
      </w:r>
      <w:r w:rsidRPr="00E205A1">
        <w:rPr>
          <w:lang w:val="en-GB"/>
        </w:rPr>
        <w:t xml:space="preserve"> share and also </w:t>
      </w:r>
      <w:r w:rsidR="00D95345" w:rsidRPr="00E205A1">
        <w:rPr>
          <w:lang w:val="en-GB"/>
        </w:rPr>
        <w:t>block</w:t>
      </w:r>
      <w:r w:rsidRPr="00E205A1">
        <w:rPr>
          <w:lang w:val="en-GB"/>
        </w:rPr>
        <w:t xml:space="preserve"> access to personal data. Project</w:t>
      </w:r>
      <w:r w:rsidR="004E2F7E" w:rsidRPr="00E205A1">
        <w:rPr>
          <w:lang w:val="en-GB"/>
        </w:rPr>
        <w:t>s</w:t>
      </w:r>
      <w:r w:rsidRPr="00E205A1">
        <w:rPr>
          <w:lang w:val="en-GB"/>
        </w:rPr>
        <w:t xml:space="preserve"> of </w:t>
      </w:r>
      <w:r w:rsidRPr="00E205A1">
        <w:rPr>
          <w:b/>
          <w:bCs/>
          <w:lang w:val="en-GB"/>
        </w:rPr>
        <w:t>business intelligence</w:t>
      </w:r>
      <w:r w:rsidRPr="00E205A1">
        <w:rPr>
          <w:lang w:val="en-GB"/>
        </w:rPr>
        <w:t xml:space="preserve"> </w:t>
      </w:r>
      <w:r w:rsidR="00F114A5" w:rsidRPr="00E205A1">
        <w:rPr>
          <w:lang w:val="en-GB"/>
        </w:rPr>
        <w:t xml:space="preserve">and </w:t>
      </w:r>
      <w:r w:rsidR="00F114A5" w:rsidRPr="00E205A1">
        <w:rPr>
          <w:b/>
          <w:bCs/>
          <w:lang w:val="en-GB"/>
        </w:rPr>
        <w:t>analytical</w:t>
      </w:r>
      <w:r w:rsidRPr="00E205A1">
        <w:rPr>
          <w:b/>
          <w:bCs/>
          <w:lang w:val="en-GB"/>
        </w:rPr>
        <w:t xml:space="preserve"> units</w:t>
      </w:r>
      <w:r w:rsidRPr="00E205A1">
        <w:rPr>
          <w:lang w:val="en-GB"/>
        </w:rPr>
        <w:t xml:space="preserve"> will become </w:t>
      </w:r>
      <w:r w:rsidR="00FB3441" w:rsidRPr="00E205A1">
        <w:rPr>
          <w:lang w:val="en-GB"/>
        </w:rPr>
        <w:t xml:space="preserve">a </w:t>
      </w:r>
      <w:r w:rsidR="008E301A" w:rsidRPr="00E205A1">
        <w:rPr>
          <w:lang w:val="en-GB"/>
        </w:rPr>
        <w:t>standard</w:t>
      </w:r>
      <w:r w:rsidRPr="00E205A1">
        <w:rPr>
          <w:lang w:val="en-GB"/>
        </w:rPr>
        <w:t xml:space="preserve"> part of ma</w:t>
      </w:r>
      <w:r w:rsidR="00FB3441" w:rsidRPr="00E205A1">
        <w:rPr>
          <w:lang w:val="en-GB"/>
        </w:rPr>
        <w:t>j</w:t>
      </w:r>
      <w:r w:rsidRPr="00E205A1">
        <w:rPr>
          <w:lang w:val="en-GB"/>
        </w:rPr>
        <w:t>or public institution</w:t>
      </w:r>
      <w:r w:rsidR="00FB3441" w:rsidRPr="00E205A1">
        <w:rPr>
          <w:lang w:val="en-GB"/>
        </w:rPr>
        <w:t>s</w:t>
      </w:r>
      <w:r w:rsidR="00B8589D" w:rsidRPr="00E205A1">
        <w:rPr>
          <w:lang w:val="en-GB"/>
        </w:rPr>
        <w:t xml:space="preserve"> to support data driven decisions, reduce number of changes in </w:t>
      </w:r>
      <w:r w:rsidR="003A6676" w:rsidRPr="00E205A1">
        <w:rPr>
          <w:lang w:val="en-GB"/>
        </w:rPr>
        <w:t>legislative, efficiency of public spending</w:t>
      </w:r>
      <w:r w:rsidR="00B8589D" w:rsidRPr="00E205A1">
        <w:rPr>
          <w:lang w:val="en-GB"/>
        </w:rPr>
        <w:t xml:space="preserve"> and ensure more value for money projects</w:t>
      </w:r>
      <w:r w:rsidRPr="00E205A1">
        <w:rPr>
          <w:lang w:val="en-GB"/>
        </w:rPr>
        <w:t xml:space="preserve">. </w:t>
      </w:r>
      <w:r w:rsidR="00F114A5" w:rsidRPr="00E205A1">
        <w:rPr>
          <w:lang w:val="en-GB"/>
        </w:rPr>
        <w:t xml:space="preserve">Last but not least </w:t>
      </w:r>
      <w:r w:rsidR="00FB3441" w:rsidRPr="00E205A1">
        <w:rPr>
          <w:lang w:val="en-GB"/>
        </w:rPr>
        <w:t xml:space="preserve">a </w:t>
      </w:r>
      <w:r w:rsidR="00F114A5" w:rsidRPr="00E205A1">
        <w:rPr>
          <w:lang w:val="en-GB"/>
        </w:rPr>
        <w:t>new model of optimized backend process need</w:t>
      </w:r>
      <w:r w:rsidR="00FB3441" w:rsidRPr="00E205A1">
        <w:rPr>
          <w:lang w:val="en-GB"/>
        </w:rPr>
        <w:t>s</w:t>
      </w:r>
      <w:r w:rsidR="00F114A5" w:rsidRPr="00E205A1">
        <w:rPr>
          <w:lang w:val="en-GB"/>
        </w:rPr>
        <w:t xml:space="preserve"> to be taken. This new </w:t>
      </w:r>
      <w:r w:rsidR="004E2F7E" w:rsidRPr="00E205A1">
        <w:rPr>
          <w:b/>
          <w:bCs/>
          <w:lang w:val="en-GB"/>
        </w:rPr>
        <w:t xml:space="preserve">business analyst </w:t>
      </w:r>
      <w:r w:rsidR="00F114A5" w:rsidRPr="00E205A1">
        <w:rPr>
          <w:b/>
          <w:bCs/>
          <w:lang w:val="en-GB"/>
        </w:rPr>
        <w:t>units</w:t>
      </w:r>
      <w:r w:rsidR="00F114A5" w:rsidRPr="00E205A1">
        <w:rPr>
          <w:lang w:val="en-GB"/>
        </w:rPr>
        <w:t xml:space="preserve"> will be on core public institutions responsible to “</w:t>
      </w:r>
      <w:r w:rsidR="00336907" w:rsidRPr="00E205A1">
        <w:rPr>
          <w:lang w:val="en-GB"/>
        </w:rPr>
        <w:t>cut the red tape</w:t>
      </w:r>
      <w:r w:rsidR="00F114A5" w:rsidRPr="00E205A1">
        <w:rPr>
          <w:lang w:val="en-GB"/>
        </w:rPr>
        <w:t>”</w:t>
      </w:r>
      <w:r w:rsidR="00E01393" w:rsidRPr="00E205A1">
        <w:rPr>
          <w:lang w:val="en-GB"/>
        </w:rPr>
        <w:t xml:space="preserve">, </w:t>
      </w:r>
      <w:r w:rsidR="00336907" w:rsidRPr="00E205A1">
        <w:rPr>
          <w:lang w:val="en-GB"/>
        </w:rPr>
        <w:t xml:space="preserve">reduce </w:t>
      </w:r>
      <w:r w:rsidR="00C7235D" w:rsidRPr="00E205A1">
        <w:rPr>
          <w:lang w:val="en-GB"/>
        </w:rPr>
        <w:t>gold platting</w:t>
      </w:r>
      <w:r w:rsidR="00F114A5" w:rsidRPr="00E205A1">
        <w:rPr>
          <w:lang w:val="en-GB"/>
        </w:rPr>
        <w:t xml:space="preserve"> </w:t>
      </w:r>
      <w:r w:rsidR="00E01393" w:rsidRPr="00E205A1">
        <w:rPr>
          <w:lang w:val="en-GB"/>
        </w:rPr>
        <w:t>and</w:t>
      </w:r>
      <w:r w:rsidR="00F114A5" w:rsidRPr="00E205A1">
        <w:rPr>
          <w:lang w:val="en-GB"/>
        </w:rPr>
        <w:t xml:space="preserve"> </w:t>
      </w:r>
      <w:r w:rsidR="00E01393" w:rsidRPr="00E205A1">
        <w:rPr>
          <w:lang w:val="en-GB"/>
        </w:rPr>
        <w:t>eliminate</w:t>
      </w:r>
      <w:r w:rsidR="00F114A5" w:rsidRPr="00E205A1">
        <w:rPr>
          <w:lang w:val="en-GB"/>
        </w:rPr>
        <w:t xml:space="preserve"> processes and ensuring lean backend</w:t>
      </w:r>
      <w:r w:rsidR="00B8589D" w:rsidRPr="00E205A1">
        <w:rPr>
          <w:lang w:val="en-GB"/>
        </w:rPr>
        <w:t xml:space="preserve"> workflow in order to reduce time and money of citizens and business spen</w:t>
      </w:r>
      <w:r w:rsidR="00FB3441" w:rsidRPr="00E205A1">
        <w:rPr>
          <w:lang w:val="en-GB"/>
        </w:rPr>
        <w:t>t</w:t>
      </w:r>
      <w:r w:rsidR="00B8589D" w:rsidRPr="00E205A1">
        <w:rPr>
          <w:lang w:val="en-GB"/>
        </w:rPr>
        <w:t xml:space="preserve"> on interaction with </w:t>
      </w:r>
      <w:r w:rsidR="00FB3441" w:rsidRPr="00E205A1">
        <w:rPr>
          <w:lang w:val="en-GB"/>
        </w:rPr>
        <w:t xml:space="preserve">the </w:t>
      </w:r>
      <w:r w:rsidR="00B8589D" w:rsidRPr="00E205A1">
        <w:rPr>
          <w:lang w:val="en-GB"/>
        </w:rPr>
        <w:t xml:space="preserve">government. </w:t>
      </w:r>
    </w:p>
    <w:p w14:paraId="3265463A" w14:textId="77777777" w:rsidR="00362CC2" w:rsidRPr="00E205A1" w:rsidRDefault="002D45BA" w:rsidP="000877B6">
      <w:pPr>
        <w:pStyle w:val="ListParagraph"/>
        <w:numPr>
          <w:ilvl w:val="0"/>
          <w:numId w:val="5"/>
        </w:numPr>
        <w:jc w:val="both"/>
        <w:rPr>
          <w:lang w:val="en-GB"/>
        </w:rPr>
      </w:pPr>
      <w:r w:rsidRPr="00E205A1">
        <w:rPr>
          <w:lang w:val="en-GB"/>
        </w:rPr>
        <w:t>Digital transformation of government will experiment with</w:t>
      </w:r>
      <w:r w:rsidR="000877B6" w:rsidRPr="00E205A1">
        <w:rPr>
          <w:lang w:val="en-GB"/>
        </w:rPr>
        <w:t xml:space="preserve"> </w:t>
      </w:r>
      <w:r w:rsidR="00DD79F7">
        <w:rPr>
          <w:lang w:val="en-GB"/>
        </w:rPr>
        <w:t>smaller</w:t>
      </w:r>
      <w:r w:rsidR="000877B6" w:rsidRPr="00E205A1">
        <w:rPr>
          <w:lang w:val="en-GB"/>
        </w:rPr>
        <w:t xml:space="preserve"> amount of money focused on</w:t>
      </w:r>
      <w:r w:rsidRPr="00E205A1">
        <w:rPr>
          <w:lang w:val="en-GB"/>
        </w:rPr>
        <w:t xml:space="preserve"> </w:t>
      </w:r>
      <w:r w:rsidRPr="00E205A1">
        <w:rPr>
          <w:b/>
          <w:bCs/>
          <w:lang w:val="en-GB"/>
        </w:rPr>
        <w:t>machine learning, big data</w:t>
      </w:r>
      <w:r w:rsidRPr="00E205A1">
        <w:rPr>
          <w:lang w:val="en-GB"/>
        </w:rPr>
        <w:t xml:space="preserve"> and </w:t>
      </w:r>
      <w:r w:rsidR="000877B6" w:rsidRPr="00E205A1">
        <w:rPr>
          <w:lang w:val="en-GB"/>
        </w:rPr>
        <w:t xml:space="preserve">SME </w:t>
      </w:r>
      <w:r w:rsidR="000877B6" w:rsidRPr="00E205A1">
        <w:rPr>
          <w:b/>
          <w:bCs/>
          <w:lang w:val="en-GB"/>
        </w:rPr>
        <w:t>business based on open data</w:t>
      </w:r>
      <w:r w:rsidR="000877B6" w:rsidRPr="00E205A1">
        <w:rPr>
          <w:lang w:val="en-GB"/>
        </w:rPr>
        <w:t xml:space="preserve">. </w:t>
      </w:r>
    </w:p>
    <w:p w14:paraId="7243FADB" w14:textId="77777777" w:rsidR="00362CC2" w:rsidRPr="00E205A1" w:rsidRDefault="005D4659" w:rsidP="000877B6">
      <w:pPr>
        <w:pStyle w:val="ListParagraph"/>
        <w:numPr>
          <w:ilvl w:val="0"/>
          <w:numId w:val="5"/>
        </w:numPr>
        <w:jc w:val="both"/>
        <w:rPr>
          <w:lang w:val="en-GB"/>
        </w:rPr>
      </w:pPr>
      <w:r w:rsidRPr="00E205A1">
        <w:rPr>
          <w:b/>
          <w:bCs/>
          <w:lang w:val="en-GB"/>
        </w:rPr>
        <w:t xml:space="preserve">Government as a platform </w:t>
      </w:r>
      <w:r w:rsidR="004D7012" w:rsidRPr="00E205A1">
        <w:rPr>
          <w:lang w:val="en-GB"/>
        </w:rPr>
        <w:t xml:space="preserve">as a second priority for </w:t>
      </w:r>
      <w:r w:rsidR="00FB3441" w:rsidRPr="00E205A1">
        <w:rPr>
          <w:lang w:val="en-GB"/>
        </w:rPr>
        <w:t xml:space="preserve">the </w:t>
      </w:r>
      <w:r w:rsidR="004D7012" w:rsidRPr="00E205A1">
        <w:rPr>
          <w:lang w:val="en-GB"/>
        </w:rPr>
        <w:t>new programming period</w:t>
      </w:r>
      <w:r w:rsidR="004D7012" w:rsidRPr="00E205A1">
        <w:rPr>
          <w:b/>
          <w:bCs/>
          <w:lang w:val="en-GB"/>
        </w:rPr>
        <w:t xml:space="preserve"> </w:t>
      </w:r>
      <w:r w:rsidR="00AA49D1" w:rsidRPr="00E205A1">
        <w:rPr>
          <w:lang w:val="en-GB"/>
        </w:rPr>
        <w:t xml:space="preserve">focused on </w:t>
      </w:r>
      <w:r w:rsidR="00FB3441" w:rsidRPr="00E205A1">
        <w:rPr>
          <w:lang w:val="en-GB"/>
        </w:rPr>
        <w:t xml:space="preserve">an </w:t>
      </w:r>
      <w:r w:rsidR="00AA49D1" w:rsidRPr="00E205A1">
        <w:rPr>
          <w:lang w:val="en-GB"/>
        </w:rPr>
        <w:t>increase of digital take-up</w:t>
      </w:r>
      <w:r w:rsidR="004358E1" w:rsidRPr="00E205A1">
        <w:rPr>
          <w:lang w:val="en-GB"/>
        </w:rPr>
        <w:t xml:space="preserve"> to </w:t>
      </w:r>
      <w:r w:rsidR="00135BEC" w:rsidRPr="00E205A1">
        <w:rPr>
          <w:lang w:val="en-GB"/>
        </w:rPr>
        <w:t>acquire full potential of government digital transformatio</w:t>
      </w:r>
      <w:r w:rsidR="001606CC" w:rsidRPr="00E205A1">
        <w:rPr>
          <w:lang w:val="en-GB"/>
        </w:rPr>
        <w:t>n. Digital take-up is the percentage of people using government services online in relation to other channels, for example paper or telephone</w:t>
      </w:r>
      <w:r w:rsidR="004358E1" w:rsidRPr="00E205A1">
        <w:rPr>
          <w:lang w:val="en-GB"/>
        </w:rPr>
        <w:t xml:space="preserve">. </w:t>
      </w:r>
    </w:p>
    <w:p w14:paraId="34FB90F4" w14:textId="77777777" w:rsidR="00362CC2" w:rsidRPr="00E205A1" w:rsidRDefault="00362CC2" w:rsidP="000877B6">
      <w:pPr>
        <w:pStyle w:val="ListParagraph"/>
        <w:numPr>
          <w:ilvl w:val="0"/>
          <w:numId w:val="5"/>
        </w:numPr>
        <w:jc w:val="both"/>
        <w:rPr>
          <w:lang w:val="en-GB"/>
        </w:rPr>
      </w:pPr>
      <w:r w:rsidRPr="00E205A1">
        <w:rPr>
          <w:lang w:val="en-GB"/>
        </w:rPr>
        <w:t>In continue perspective w</w:t>
      </w:r>
      <w:r w:rsidR="00315FB1" w:rsidRPr="00E205A1">
        <w:rPr>
          <w:lang w:val="en-GB"/>
        </w:rPr>
        <w:t>e</w:t>
      </w:r>
      <w:r w:rsidRPr="00E205A1">
        <w:rPr>
          <w:lang w:val="en-GB"/>
        </w:rPr>
        <w:t xml:space="preserve"> will</w:t>
      </w:r>
      <w:r w:rsidR="00315FB1" w:rsidRPr="00E205A1">
        <w:rPr>
          <w:lang w:val="en-GB"/>
        </w:rPr>
        <w:t xml:space="preserve"> keep </w:t>
      </w:r>
      <w:r w:rsidRPr="00E205A1">
        <w:rPr>
          <w:lang w:val="en-GB"/>
        </w:rPr>
        <w:t>support of</w:t>
      </w:r>
      <w:r w:rsidR="00315FB1" w:rsidRPr="00E205A1">
        <w:rPr>
          <w:lang w:val="en-GB"/>
        </w:rPr>
        <w:t xml:space="preserve"> </w:t>
      </w:r>
      <w:r w:rsidR="00FB3441" w:rsidRPr="00E205A1">
        <w:rPr>
          <w:lang w:val="en-GB"/>
        </w:rPr>
        <w:t xml:space="preserve">the </w:t>
      </w:r>
      <w:r w:rsidR="00315FB1" w:rsidRPr="00E205A1">
        <w:rPr>
          <w:b/>
          <w:bCs/>
          <w:lang w:val="en-GB"/>
        </w:rPr>
        <w:t>Backbone for central digital services</w:t>
      </w:r>
      <w:r w:rsidR="00315FB1" w:rsidRPr="00E205A1">
        <w:rPr>
          <w:lang w:val="en-GB"/>
        </w:rPr>
        <w:t xml:space="preserve"> and </w:t>
      </w:r>
      <w:r w:rsidR="00315FB1" w:rsidRPr="00E205A1">
        <w:rPr>
          <w:b/>
          <w:bCs/>
          <w:lang w:val="en-GB"/>
        </w:rPr>
        <w:t>Behavio</w:t>
      </w:r>
      <w:r w:rsidR="00FB3441" w:rsidRPr="00E205A1">
        <w:rPr>
          <w:b/>
          <w:bCs/>
          <w:lang w:val="en-GB"/>
        </w:rPr>
        <w:t>u</w:t>
      </w:r>
      <w:r w:rsidR="00315FB1" w:rsidRPr="00E205A1">
        <w:rPr>
          <w:b/>
          <w:bCs/>
          <w:lang w:val="en-GB"/>
        </w:rPr>
        <w:t>ral office</w:t>
      </w:r>
      <w:r w:rsidR="00315FB1" w:rsidRPr="00E205A1">
        <w:rPr>
          <w:lang w:val="en-GB"/>
        </w:rPr>
        <w:t xml:space="preserve"> which will need to reflect new components in </w:t>
      </w:r>
      <w:r w:rsidR="00DF3537" w:rsidRPr="00E205A1">
        <w:rPr>
          <w:lang w:val="en-GB"/>
        </w:rPr>
        <w:t>s</w:t>
      </w:r>
      <w:r w:rsidR="00315FB1" w:rsidRPr="00E205A1">
        <w:rPr>
          <w:lang w:val="en-GB"/>
        </w:rPr>
        <w:t xml:space="preserve">tart </w:t>
      </w:r>
      <w:r w:rsidR="00DF3537" w:rsidRPr="00E205A1">
        <w:rPr>
          <w:lang w:val="en-GB"/>
        </w:rPr>
        <w:t>perspective</w:t>
      </w:r>
      <w:r w:rsidR="00D30FE6" w:rsidRPr="00E205A1">
        <w:rPr>
          <w:lang w:val="en-GB"/>
        </w:rPr>
        <w:t xml:space="preserve">. </w:t>
      </w:r>
      <w:r w:rsidR="003236F3" w:rsidRPr="00E205A1">
        <w:rPr>
          <w:lang w:val="en-GB"/>
        </w:rPr>
        <w:t xml:space="preserve">Based on good practise from </w:t>
      </w:r>
      <w:r w:rsidR="002D780A" w:rsidRPr="00E205A1">
        <w:rPr>
          <w:lang w:val="en-GB"/>
        </w:rPr>
        <w:t xml:space="preserve">government </w:t>
      </w:r>
      <w:r w:rsidR="003236F3" w:rsidRPr="00E205A1">
        <w:rPr>
          <w:lang w:val="en-GB"/>
        </w:rPr>
        <w:t>client centres supported from OPE</w:t>
      </w:r>
      <w:r w:rsidR="002D780A" w:rsidRPr="00E205A1">
        <w:rPr>
          <w:lang w:val="en-GB"/>
        </w:rPr>
        <w:t xml:space="preserve">PA we will </w:t>
      </w:r>
      <w:r w:rsidR="002D780A" w:rsidRPr="00E205A1">
        <w:rPr>
          <w:lang w:val="en-GB"/>
        </w:rPr>
        <w:lastRenderedPageBreak/>
        <w:t xml:space="preserve">continue </w:t>
      </w:r>
      <w:r w:rsidR="00666CB5" w:rsidRPr="00E205A1">
        <w:rPr>
          <w:lang w:val="en-GB"/>
        </w:rPr>
        <w:t xml:space="preserve">in this field </w:t>
      </w:r>
      <w:r w:rsidR="00FB3441" w:rsidRPr="00E205A1">
        <w:rPr>
          <w:lang w:val="en-GB"/>
        </w:rPr>
        <w:t>with</w:t>
      </w:r>
      <w:r w:rsidR="00666CB5" w:rsidRPr="00E205A1">
        <w:rPr>
          <w:lang w:val="en-GB"/>
        </w:rPr>
        <w:t xml:space="preserve"> </w:t>
      </w:r>
      <w:r w:rsidR="00801C25" w:rsidRPr="00E205A1">
        <w:rPr>
          <w:lang w:val="en-GB"/>
        </w:rPr>
        <w:t xml:space="preserve">integrated lean </w:t>
      </w:r>
      <w:r w:rsidR="00E559F2" w:rsidRPr="00E205A1">
        <w:rPr>
          <w:lang w:val="en-GB"/>
        </w:rPr>
        <w:t xml:space="preserve">digital </w:t>
      </w:r>
      <w:r w:rsidR="00801C25" w:rsidRPr="00E205A1">
        <w:rPr>
          <w:lang w:val="en-GB"/>
        </w:rPr>
        <w:t xml:space="preserve">one stop shop office situated in </w:t>
      </w:r>
      <w:r w:rsidR="00E559F2" w:rsidRPr="00E205A1">
        <w:rPr>
          <w:lang w:val="en-GB"/>
        </w:rPr>
        <w:t xml:space="preserve">cities </w:t>
      </w:r>
      <w:r w:rsidR="00666CB5" w:rsidRPr="00E205A1">
        <w:rPr>
          <w:lang w:val="en-GB"/>
        </w:rPr>
        <w:t xml:space="preserve">to ensure digital inclusion for all citizens. </w:t>
      </w:r>
    </w:p>
    <w:p w14:paraId="31F4C1F9" w14:textId="77777777" w:rsidR="00362CC2" w:rsidRPr="00E205A1" w:rsidRDefault="00362CC2" w:rsidP="000877B6">
      <w:pPr>
        <w:pStyle w:val="ListParagraph"/>
        <w:numPr>
          <w:ilvl w:val="0"/>
          <w:numId w:val="5"/>
        </w:numPr>
        <w:jc w:val="both"/>
        <w:rPr>
          <w:lang w:val="en-GB"/>
        </w:rPr>
      </w:pPr>
      <w:r w:rsidRPr="00E205A1">
        <w:rPr>
          <w:lang w:val="en-GB"/>
        </w:rPr>
        <w:t xml:space="preserve">Rollout must be focused on majority government organization </w:t>
      </w:r>
      <w:r w:rsidR="004358E1" w:rsidRPr="00E205A1">
        <w:rPr>
          <w:lang w:val="en-GB"/>
        </w:rPr>
        <w:t xml:space="preserve">To achieve </w:t>
      </w:r>
      <w:r w:rsidR="00D30FE6" w:rsidRPr="00E205A1">
        <w:rPr>
          <w:lang w:val="en-GB"/>
        </w:rPr>
        <w:t>benefits of digita</w:t>
      </w:r>
      <w:r w:rsidR="00B43D51" w:rsidRPr="00E205A1">
        <w:rPr>
          <w:lang w:val="en-GB"/>
        </w:rPr>
        <w:t>l communication</w:t>
      </w:r>
      <w:r w:rsidR="003F5482" w:rsidRPr="00E205A1">
        <w:rPr>
          <w:lang w:val="en-GB"/>
        </w:rPr>
        <w:t xml:space="preserve">, services must be built from </w:t>
      </w:r>
      <w:r w:rsidR="003F5482" w:rsidRPr="00E205A1">
        <w:rPr>
          <w:b/>
          <w:bCs/>
          <w:lang w:val="en-GB"/>
        </w:rPr>
        <w:t>customer and user perspective</w:t>
      </w:r>
      <w:r w:rsidR="005A6C15" w:rsidRPr="00E205A1">
        <w:rPr>
          <w:lang w:val="en-GB"/>
        </w:rPr>
        <w:t>.</w:t>
      </w:r>
      <w:r w:rsidR="00950E50" w:rsidRPr="00E205A1">
        <w:rPr>
          <w:lang w:val="en-GB"/>
        </w:rPr>
        <w:t xml:space="preserve"> Projects will be focused on GUI, digital interaction and </w:t>
      </w:r>
      <w:r w:rsidR="008A3AEB" w:rsidRPr="00E205A1">
        <w:rPr>
          <w:lang w:val="en-GB"/>
        </w:rPr>
        <w:t>attributes that should be implemented based on eGOV benchmark evaluation of digital services.</w:t>
      </w:r>
      <w:r w:rsidR="00950E50" w:rsidRPr="00E205A1">
        <w:rPr>
          <w:lang w:val="en-GB"/>
        </w:rPr>
        <w:t xml:space="preserve"> </w:t>
      </w:r>
      <w:r w:rsidR="00273048" w:rsidRPr="00E205A1">
        <w:rPr>
          <w:lang w:val="en-GB"/>
        </w:rPr>
        <w:t xml:space="preserve">Government as a platform is focused on open and transparent access </w:t>
      </w:r>
      <w:r w:rsidR="00B43D51" w:rsidRPr="00E205A1">
        <w:rPr>
          <w:lang w:val="en-GB"/>
        </w:rPr>
        <w:t>through</w:t>
      </w:r>
      <w:r w:rsidR="00A82A3A" w:rsidRPr="00E205A1">
        <w:rPr>
          <w:lang w:val="en-GB"/>
        </w:rPr>
        <w:t xml:space="preserve"> </w:t>
      </w:r>
      <w:r w:rsidR="00A82A3A" w:rsidRPr="00E205A1">
        <w:rPr>
          <w:b/>
          <w:bCs/>
          <w:lang w:val="en-GB"/>
        </w:rPr>
        <w:t>OPEN API</w:t>
      </w:r>
      <w:r w:rsidR="00A82A3A" w:rsidRPr="00E205A1">
        <w:rPr>
          <w:lang w:val="en-GB"/>
        </w:rPr>
        <w:t xml:space="preserve"> </w:t>
      </w:r>
      <w:r w:rsidR="00273048" w:rsidRPr="00E205A1">
        <w:rPr>
          <w:lang w:val="en-GB"/>
        </w:rPr>
        <w:t xml:space="preserve">to </w:t>
      </w:r>
      <w:r w:rsidR="0081004D" w:rsidRPr="00E205A1">
        <w:rPr>
          <w:lang w:val="en-GB"/>
        </w:rPr>
        <w:t xml:space="preserve">government digital services </w:t>
      </w:r>
      <w:r w:rsidR="008A3AEB" w:rsidRPr="00E205A1">
        <w:rPr>
          <w:lang w:val="en-GB"/>
        </w:rPr>
        <w:t>by</w:t>
      </w:r>
      <w:r w:rsidR="005912FB" w:rsidRPr="00E205A1">
        <w:rPr>
          <w:lang w:val="en-GB"/>
        </w:rPr>
        <w:t xml:space="preserve"> third entities. </w:t>
      </w:r>
      <w:r w:rsidR="005262C7" w:rsidRPr="00E205A1">
        <w:rPr>
          <w:lang w:val="en-GB"/>
        </w:rPr>
        <w:t xml:space="preserve">To </w:t>
      </w:r>
      <w:r w:rsidR="004928EC" w:rsidRPr="00E205A1">
        <w:rPr>
          <w:lang w:val="en-GB"/>
        </w:rPr>
        <w:t>ensure</w:t>
      </w:r>
      <w:r w:rsidR="005262C7" w:rsidRPr="00E205A1">
        <w:rPr>
          <w:lang w:val="en-GB"/>
        </w:rPr>
        <w:t xml:space="preserve"> environment read</w:t>
      </w:r>
      <w:r w:rsidR="00627DA8" w:rsidRPr="00E205A1">
        <w:rPr>
          <w:lang w:val="en-GB"/>
        </w:rPr>
        <w:t>iness</w:t>
      </w:r>
      <w:r w:rsidR="005262C7" w:rsidRPr="00E205A1">
        <w:rPr>
          <w:lang w:val="en-GB"/>
        </w:rPr>
        <w:t>, e</w:t>
      </w:r>
      <w:r w:rsidR="00241A5E" w:rsidRPr="00E205A1">
        <w:rPr>
          <w:lang w:val="en-GB"/>
        </w:rPr>
        <w:t>xperiment on central level and legislative changes ha</w:t>
      </w:r>
      <w:r w:rsidR="00FB3441" w:rsidRPr="00E205A1">
        <w:rPr>
          <w:lang w:val="en-GB"/>
        </w:rPr>
        <w:t>ve</w:t>
      </w:r>
      <w:r w:rsidR="00241A5E" w:rsidRPr="00E205A1">
        <w:rPr>
          <w:lang w:val="en-GB"/>
        </w:rPr>
        <w:t xml:space="preserve"> been </w:t>
      </w:r>
      <w:r w:rsidR="007879FC" w:rsidRPr="00E205A1">
        <w:rPr>
          <w:lang w:val="en-GB"/>
        </w:rPr>
        <w:t>made</w:t>
      </w:r>
      <w:r w:rsidR="00E2771B" w:rsidRPr="00E205A1">
        <w:rPr>
          <w:lang w:val="en-GB"/>
        </w:rPr>
        <w:t xml:space="preserve"> during this programming period</w:t>
      </w:r>
      <w:r w:rsidR="008A3AEB" w:rsidRPr="00E205A1">
        <w:rPr>
          <w:lang w:val="en-GB"/>
        </w:rPr>
        <w:t xml:space="preserve">. </w:t>
      </w:r>
      <w:r w:rsidR="00C46589" w:rsidRPr="00E205A1">
        <w:rPr>
          <w:lang w:val="en-GB"/>
        </w:rPr>
        <w:t>Start</w:t>
      </w:r>
      <w:r w:rsidR="00FB3441" w:rsidRPr="00E205A1">
        <w:rPr>
          <w:lang w:val="en-GB"/>
        </w:rPr>
        <w:t xml:space="preserve"> of</w:t>
      </w:r>
      <w:r w:rsidR="00BA7897" w:rsidRPr="00E205A1">
        <w:rPr>
          <w:lang w:val="en-GB"/>
        </w:rPr>
        <w:t xml:space="preserve"> </w:t>
      </w:r>
      <w:r w:rsidR="004E2F7E" w:rsidRPr="00E205A1">
        <w:rPr>
          <w:lang w:val="en-GB"/>
        </w:rPr>
        <w:t>this kind of</w:t>
      </w:r>
      <w:r w:rsidR="00BA7897" w:rsidRPr="00E205A1">
        <w:rPr>
          <w:lang w:val="en-GB"/>
        </w:rPr>
        <w:t xml:space="preserve"> </w:t>
      </w:r>
      <w:r w:rsidR="004E2F7E" w:rsidRPr="00E205A1">
        <w:rPr>
          <w:lang w:val="en-GB"/>
        </w:rPr>
        <w:t>projects</w:t>
      </w:r>
      <w:r w:rsidR="00BA7897" w:rsidRPr="00E205A1">
        <w:rPr>
          <w:lang w:val="en-GB"/>
        </w:rPr>
        <w:t xml:space="preserve"> </w:t>
      </w:r>
      <w:r w:rsidR="004E2F7E" w:rsidRPr="00E205A1">
        <w:rPr>
          <w:lang w:val="en-GB"/>
        </w:rPr>
        <w:t>focus</w:t>
      </w:r>
      <w:r w:rsidR="008B7D3F" w:rsidRPr="00E205A1">
        <w:rPr>
          <w:lang w:val="en-GB"/>
        </w:rPr>
        <w:t>ed</w:t>
      </w:r>
      <w:r w:rsidR="004E2F7E" w:rsidRPr="00E205A1">
        <w:rPr>
          <w:lang w:val="en-GB"/>
        </w:rPr>
        <w:t xml:space="preserve"> on </w:t>
      </w:r>
      <w:r w:rsidR="00BA7897" w:rsidRPr="00E205A1">
        <w:rPr>
          <w:lang w:val="en-GB"/>
        </w:rPr>
        <w:t>chang</w:t>
      </w:r>
      <w:r w:rsidR="006F123D" w:rsidRPr="00E205A1">
        <w:rPr>
          <w:lang w:val="en-GB"/>
        </w:rPr>
        <w:t xml:space="preserve">ing </w:t>
      </w:r>
      <w:r w:rsidR="00BA7897" w:rsidRPr="00E205A1">
        <w:rPr>
          <w:lang w:val="en-GB"/>
        </w:rPr>
        <w:t>digital services engine</w:t>
      </w:r>
      <w:r w:rsidR="00C46589" w:rsidRPr="00E205A1">
        <w:rPr>
          <w:lang w:val="en-GB"/>
        </w:rPr>
        <w:t xml:space="preserve">s in order to </w:t>
      </w:r>
      <w:r w:rsidR="00E5594E" w:rsidRPr="00E205A1">
        <w:rPr>
          <w:lang w:val="en-GB"/>
        </w:rPr>
        <w:t xml:space="preserve">ensure interoperability </w:t>
      </w:r>
      <w:r w:rsidR="007D36C8" w:rsidRPr="00E205A1">
        <w:rPr>
          <w:lang w:val="en-GB"/>
        </w:rPr>
        <w:t xml:space="preserve">and </w:t>
      </w:r>
      <w:r w:rsidR="006C2AAB" w:rsidRPr="00E205A1">
        <w:rPr>
          <w:lang w:val="en-GB"/>
        </w:rPr>
        <w:t>capacity to handle requests from third entities</w:t>
      </w:r>
      <w:r w:rsidR="004928EC" w:rsidRPr="00E205A1">
        <w:rPr>
          <w:lang w:val="en-GB"/>
        </w:rPr>
        <w:t xml:space="preserve"> will be </w:t>
      </w:r>
      <w:r w:rsidR="00CD663D" w:rsidRPr="00E205A1">
        <w:rPr>
          <w:lang w:val="en-GB"/>
        </w:rPr>
        <w:t>implemented</w:t>
      </w:r>
      <w:r w:rsidR="004928EC" w:rsidRPr="00E205A1">
        <w:rPr>
          <w:lang w:val="en-GB"/>
        </w:rPr>
        <w:t xml:space="preserve"> </w:t>
      </w:r>
      <w:r w:rsidR="00831EDA" w:rsidRPr="00E205A1">
        <w:rPr>
          <w:lang w:val="en-GB"/>
        </w:rPr>
        <w:t>on majority government institution</w:t>
      </w:r>
      <w:r w:rsidR="006F638C" w:rsidRPr="00E205A1">
        <w:rPr>
          <w:lang w:val="en-GB"/>
        </w:rPr>
        <w:t>s</w:t>
      </w:r>
      <w:r w:rsidR="00831EDA" w:rsidRPr="00E205A1">
        <w:rPr>
          <w:lang w:val="en-GB"/>
        </w:rPr>
        <w:t>.</w:t>
      </w:r>
      <w:r w:rsidR="008333C2" w:rsidRPr="00E205A1">
        <w:rPr>
          <w:lang w:val="en-GB"/>
        </w:rPr>
        <w:t xml:space="preserve"> Last but not least, </w:t>
      </w:r>
      <w:r w:rsidR="009E0D13" w:rsidRPr="00E205A1">
        <w:rPr>
          <w:b/>
          <w:bCs/>
          <w:lang w:val="en-GB"/>
        </w:rPr>
        <w:t>robotic process automation</w:t>
      </w:r>
      <w:r w:rsidR="004C3323" w:rsidRPr="00E205A1">
        <w:rPr>
          <w:b/>
          <w:bCs/>
          <w:lang w:val="en-GB"/>
        </w:rPr>
        <w:t xml:space="preserve"> </w:t>
      </w:r>
      <w:r w:rsidR="004C3323" w:rsidRPr="00E205A1">
        <w:rPr>
          <w:lang w:val="en-GB"/>
        </w:rPr>
        <w:t xml:space="preserve">(list of automated actions) </w:t>
      </w:r>
      <w:r w:rsidR="009E0D13" w:rsidRPr="00E205A1">
        <w:rPr>
          <w:lang w:val="en-GB"/>
        </w:rPr>
        <w:t xml:space="preserve">can be a new default </w:t>
      </w:r>
      <w:r w:rsidR="002472B6" w:rsidRPr="00E205A1">
        <w:rPr>
          <w:lang w:val="en-GB"/>
        </w:rPr>
        <w:t xml:space="preserve">to </w:t>
      </w:r>
      <w:r w:rsidR="000B53C2" w:rsidRPr="00E205A1">
        <w:rPr>
          <w:lang w:val="en-GB"/>
        </w:rPr>
        <w:t xml:space="preserve">digital services </w:t>
      </w:r>
      <w:r w:rsidR="009E0D13" w:rsidRPr="00E205A1">
        <w:rPr>
          <w:lang w:val="en-GB"/>
        </w:rPr>
        <w:t xml:space="preserve">mainly in </w:t>
      </w:r>
      <w:r w:rsidR="000B53C2" w:rsidRPr="00E205A1">
        <w:rPr>
          <w:lang w:val="en-GB"/>
        </w:rPr>
        <w:t>state</w:t>
      </w:r>
      <w:r w:rsidR="00684A60" w:rsidRPr="00E205A1">
        <w:rPr>
          <w:lang w:val="en-GB"/>
        </w:rPr>
        <w:t xml:space="preserve"> obligated</w:t>
      </w:r>
      <w:r w:rsidR="000B53C2" w:rsidRPr="00E205A1">
        <w:rPr>
          <w:lang w:val="en-GB"/>
        </w:rPr>
        <w:t xml:space="preserve"> </w:t>
      </w:r>
      <w:r w:rsidR="005F0526" w:rsidRPr="00E205A1">
        <w:rPr>
          <w:lang w:val="en-GB"/>
        </w:rPr>
        <w:t xml:space="preserve">welfare programmes </w:t>
      </w:r>
      <w:r w:rsidR="00684A60" w:rsidRPr="00E205A1">
        <w:rPr>
          <w:lang w:val="en-GB"/>
        </w:rPr>
        <w:t>such as state social insurance</w:t>
      </w:r>
      <w:r w:rsidR="00935281" w:rsidRPr="00E205A1">
        <w:rPr>
          <w:lang w:val="en-GB"/>
        </w:rPr>
        <w:t xml:space="preserve"> agenda</w:t>
      </w:r>
      <w:r w:rsidR="00881BFA" w:rsidRPr="00E205A1">
        <w:rPr>
          <w:lang w:val="en-GB"/>
        </w:rPr>
        <w:t xml:space="preserve">. </w:t>
      </w:r>
      <w:r w:rsidR="009964F9" w:rsidRPr="00E205A1">
        <w:rPr>
          <w:b/>
          <w:bCs/>
          <w:lang w:val="en-GB"/>
        </w:rPr>
        <w:t>Product management</w:t>
      </w:r>
      <w:r w:rsidR="009964F9" w:rsidRPr="00E205A1">
        <w:rPr>
          <w:lang w:val="en-GB"/>
        </w:rPr>
        <w:t xml:space="preserve"> units need to be </w:t>
      </w:r>
      <w:r w:rsidR="008B7D3F" w:rsidRPr="00E205A1">
        <w:rPr>
          <w:lang w:val="en-GB"/>
        </w:rPr>
        <w:t>added</w:t>
      </w:r>
      <w:r w:rsidR="009964F9" w:rsidRPr="00E205A1">
        <w:rPr>
          <w:lang w:val="en-GB"/>
        </w:rPr>
        <w:t xml:space="preserve"> as a complementarity to IT projects</w:t>
      </w:r>
      <w:r w:rsidR="00211DD8" w:rsidRPr="00E205A1">
        <w:rPr>
          <w:lang w:val="en-GB"/>
        </w:rPr>
        <w:t xml:space="preserve">. </w:t>
      </w:r>
      <w:r w:rsidR="00357F7F" w:rsidRPr="00E205A1">
        <w:rPr>
          <w:lang w:val="en-GB"/>
        </w:rPr>
        <w:t>Front</w:t>
      </w:r>
      <w:r w:rsidR="00AD5E57" w:rsidRPr="00E205A1">
        <w:rPr>
          <w:lang w:val="en-GB"/>
        </w:rPr>
        <w:t>e</w:t>
      </w:r>
      <w:r w:rsidR="00357F7F" w:rsidRPr="00E205A1">
        <w:rPr>
          <w:lang w:val="en-GB"/>
        </w:rPr>
        <w:t>nd experts focused on</w:t>
      </w:r>
      <w:r w:rsidR="0074237D" w:rsidRPr="00E205A1">
        <w:rPr>
          <w:lang w:val="en-GB"/>
        </w:rPr>
        <w:t xml:space="preserve"> collecting a</w:t>
      </w:r>
      <w:r w:rsidR="00755B3C" w:rsidRPr="00E205A1">
        <w:rPr>
          <w:lang w:val="en-GB"/>
        </w:rPr>
        <w:t>nd analysing</w:t>
      </w:r>
      <w:r w:rsidR="0074237D" w:rsidRPr="00E205A1">
        <w:rPr>
          <w:lang w:val="en-GB"/>
        </w:rPr>
        <w:t xml:space="preserve"> feedback from customers, </w:t>
      </w:r>
      <w:r w:rsidR="00755B3C" w:rsidRPr="00E205A1">
        <w:rPr>
          <w:lang w:val="en-GB"/>
        </w:rPr>
        <w:t xml:space="preserve">analysing customer journeys </w:t>
      </w:r>
      <w:r w:rsidR="00AD5E57" w:rsidRPr="00E205A1">
        <w:rPr>
          <w:lang w:val="en-GB"/>
        </w:rPr>
        <w:t xml:space="preserve">and </w:t>
      </w:r>
      <w:r w:rsidR="005E5ED1" w:rsidRPr="00E205A1">
        <w:rPr>
          <w:lang w:val="en-GB"/>
        </w:rPr>
        <w:t>continu</w:t>
      </w:r>
      <w:r w:rsidR="00FB3441" w:rsidRPr="00E205A1">
        <w:rPr>
          <w:lang w:val="en-GB"/>
        </w:rPr>
        <w:t>ity of</w:t>
      </w:r>
      <w:r w:rsidR="005E5ED1" w:rsidRPr="00E205A1">
        <w:rPr>
          <w:lang w:val="en-GB"/>
        </w:rPr>
        <w:t xml:space="preserve"> development will ensure on strategic ministries digital take-up. </w:t>
      </w:r>
      <w:r w:rsidR="00B54ED4" w:rsidRPr="00E205A1">
        <w:rPr>
          <w:lang w:val="en-GB"/>
        </w:rPr>
        <w:t>During</w:t>
      </w:r>
      <w:r w:rsidR="00FB3441" w:rsidRPr="00E205A1">
        <w:rPr>
          <w:lang w:val="en-GB"/>
        </w:rPr>
        <w:t xml:space="preserve"> the</w:t>
      </w:r>
      <w:r w:rsidR="00B54ED4" w:rsidRPr="00E205A1">
        <w:rPr>
          <w:lang w:val="en-GB"/>
        </w:rPr>
        <w:t xml:space="preserve"> current programming period experiment </w:t>
      </w:r>
      <w:r w:rsidR="004A3D26" w:rsidRPr="00E205A1">
        <w:rPr>
          <w:lang w:val="en-GB"/>
        </w:rPr>
        <w:t>supported by OPEPA financed at Deputy prime minister office for investment and informatization</w:t>
      </w:r>
      <w:r w:rsidR="00125B01" w:rsidRPr="00E205A1">
        <w:rPr>
          <w:lang w:val="en-GB"/>
        </w:rPr>
        <w:t xml:space="preserve"> </w:t>
      </w:r>
      <w:r w:rsidR="001A1EF5" w:rsidRPr="00E205A1">
        <w:rPr>
          <w:lang w:val="en-GB"/>
        </w:rPr>
        <w:t xml:space="preserve">create a path for </w:t>
      </w:r>
      <w:r w:rsidR="00D508FB" w:rsidRPr="00E205A1">
        <w:rPr>
          <w:lang w:val="en-GB"/>
        </w:rPr>
        <w:t xml:space="preserve">the </w:t>
      </w:r>
      <w:r w:rsidR="001A1EF5" w:rsidRPr="00E205A1">
        <w:rPr>
          <w:lang w:val="en-GB"/>
        </w:rPr>
        <w:t xml:space="preserve">new role in digital government. </w:t>
      </w:r>
    </w:p>
    <w:p w14:paraId="15C2456D" w14:textId="77777777" w:rsidR="00EA1127" w:rsidRPr="00E205A1" w:rsidRDefault="00362CC2" w:rsidP="000877B6">
      <w:pPr>
        <w:pStyle w:val="ListParagraph"/>
        <w:numPr>
          <w:ilvl w:val="0"/>
          <w:numId w:val="5"/>
        </w:numPr>
        <w:jc w:val="both"/>
        <w:rPr>
          <w:lang w:val="en-GB"/>
        </w:rPr>
      </w:pPr>
      <w:r w:rsidRPr="00E205A1">
        <w:rPr>
          <w:lang w:val="en-GB"/>
        </w:rPr>
        <w:t>In</w:t>
      </w:r>
      <w:r w:rsidR="000877B6" w:rsidRPr="00E205A1">
        <w:rPr>
          <w:lang w:val="en-GB"/>
        </w:rPr>
        <w:t xml:space="preserve"> the experiment </w:t>
      </w:r>
      <w:r w:rsidR="00DF3537" w:rsidRPr="00E205A1">
        <w:rPr>
          <w:lang w:val="en-GB"/>
        </w:rPr>
        <w:t>perspective</w:t>
      </w:r>
      <w:r w:rsidR="000877B6" w:rsidRPr="00E205A1">
        <w:rPr>
          <w:lang w:val="en-GB"/>
        </w:rPr>
        <w:t xml:space="preserve"> new ideas</w:t>
      </w:r>
      <w:r w:rsidR="00E230FC" w:rsidRPr="00E205A1">
        <w:rPr>
          <w:lang w:val="en-GB"/>
        </w:rPr>
        <w:t xml:space="preserve"> will be</w:t>
      </w:r>
      <w:r w:rsidR="000877B6" w:rsidRPr="00E205A1">
        <w:rPr>
          <w:lang w:val="en-GB"/>
        </w:rPr>
        <w:t xml:space="preserve"> launched in priority Government as a platform</w:t>
      </w:r>
      <w:r w:rsidR="000B24AD" w:rsidRPr="00E205A1">
        <w:rPr>
          <w:lang w:val="en-GB"/>
        </w:rPr>
        <w:t xml:space="preserve">. </w:t>
      </w:r>
      <w:r w:rsidR="009D6332" w:rsidRPr="00E205A1">
        <w:rPr>
          <w:lang w:val="en-GB"/>
        </w:rPr>
        <w:t>Such as</w:t>
      </w:r>
      <w:r w:rsidR="000B24AD" w:rsidRPr="00E205A1">
        <w:rPr>
          <w:lang w:val="en-GB"/>
        </w:rPr>
        <w:t xml:space="preserve"> </w:t>
      </w:r>
      <w:r w:rsidR="000877B6" w:rsidRPr="00E205A1">
        <w:rPr>
          <w:b/>
          <w:bCs/>
          <w:lang w:val="en-GB"/>
        </w:rPr>
        <w:t>artificial intelligence</w:t>
      </w:r>
      <w:r w:rsidR="0081412D" w:rsidRPr="00E205A1">
        <w:rPr>
          <w:lang w:val="en-GB"/>
        </w:rPr>
        <w:t xml:space="preserve"> and</w:t>
      </w:r>
      <w:r w:rsidR="000877B6" w:rsidRPr="00E205A1">
        <w:rPr>
          <w:lang w:val="en-GB"/>
        </w:rPr>
        <w:t xml:space="preserve"> supporting </w:t>
      </w:r>
      <w:r w:rsidR="000877B6" w:rsidRPr="00E205A1">
        <w:rPr>
          <w:b/>
          <w:bCs/>
          <w:lang w:val="en-GB"/>
        </w:rPr>
        <w:t xml:space="preserve">SME business </w:t>
      </w:r>
      <w:r w:rsidR="00B218DC" w:rsidRPr="00E205A1">
        <w:rPr>
          <w:b/>
          <w:bCs/>
          <w:lang w:val="en-GB"/>
        </w:rPr>
        <w:t>to create new apps based on</w:t>
      </w:r>
      <w:r w:rsidR="000877B6" w:rsidRPr="00E205A1">
        <w:rPr>
          <w:b/>
          <w:bCs/>
          <w:lang w:val="en-GB"/>
        </w:rPr>
        <w:t xml:space="preserve"> government OPEN API</w:t>
      </w:r>
      <w:r w:rsidR="000877B6" w:rsidRPr="00E205A1">
        <w:rPr>
          <w:lang w:val="en-GB"/>
        </w:rPr>
        <w:t xml:space="preserve"> </w:t>
      </w:r>
      <w:r w:rsidR="00695835" w:rsidRPr="00E205A1">
        <w:rPr>
          <w:lang w:val="en-GB"/>
        </w:rPr>
        <w:t xml:space="preserve">will be </w:t>
      </w:r>
      <w:r w:rsidR="0084432A" w:rsidRPr="00E205A1">
        <w:rPr>
          <w:lang w:val="en-GB"/>
        </w:rPr>
        <w:t>financed</w:t>
      </w:r>
      <w:r w:rsidR="00695835" w:rsidRPr="00E205A1">
        <w:rPr>
          <w:lang w:val="en-GB"/>
        </w:rPr>
        <w:t xml:space="preserve"> in small scale. L</w:t>
      </w:r>
      <w:r w:rsidR="000877B6" w:rsidRPr="00E205A1">
        <w:rPr>
          <w:lang w:val="en-GB"/>
        </w:rPr>
        <w:t>ast but not least</w:t>
      </w:r>
      <w:r w:rsidR="00B218DC" w:rsidRPr="00E205A1">
        <w:rPr>
          <w:lang w:val="en-GB"/>
        </w:rPr>
        <w:t xml:space="preserve"> </w:t>
      </w:r>
      <w:r w:rsidRPr="00E205A1">
        <w:rPr>
          <w:lang w:val="en-GB"/>
        </w:rPr>
        <w:t xml:space="preserve">experiment with </w:t>
      </w:r>
      <w:r w:rsidR="00E45098" w:rsidRPr="00E205A1">
        <w:rPr>
          <w:b/>
          <w:bCs/>
          <w:lang w:val="en-GB"/>
        </w:rPr>
        <w:t>personalized</w:t>
      </w:r>
      <w:r w:rsidR="00B218DC" w:rsidRPr="00E205A1">
        <w:rPr>
          <w:b/>
          <w:bCs/>
          <w:lang w:val="en-GB"/>
        </w:rPr>
        <w:t xml:space="preserve"> digital services</w:t>
      </w:r>
      <w:r w:rsidR="00B218DC" w:rsidRPr="00E205A1">
        <w:rPr>
          <w:lang w:val="en-GB"/>
        </w:rPr>
        <w:t xml:space="preserve"> </w:t>
      </w:r>
      <w:r w:rsidRPr="00E205A1">
        <w:rPr>
          <w:lang w:val="en-GB"/>
        </w:rPr>
        <w:t>will show, how moving</w:t>
      </w:r>
      <w:r w:rsidR="00695835" w:rsidRPr="00E205A1">
        <w:rPr>
          <w:lang w:val="en-GB"/>
        </w:rPr>
        <w:t xml:space="preserve"> </w:t>
      </w:r>
      <w:r w:rsidR="000B505E" w:rsidRPr="00E205A1">
        <w:rPr>
          <w:lang w:val="en-GB"/>
        </w:rPr>
        <w:t xml:space="preserve">from form </w:t>
      </w:r>
      <w:r w:rsidR="001E6961" w:rsidRPr="00E205A1">
        <w:rPr>
          <w:lang w:val="en-GB"/>
        </w:rPr>
        <w:t>based</w:t>
      </w:r>
      <w:r w:rsidR="000B505E" w:rsidRPr="00E205A1">
        <w:rPr>
          <w:lang w:val="en-GB"/>
        </w:rPr>
        <w:t xml:space="preserve"> digital services to more interactive</w:t>
      </w:r>
      <w:r w:rsidR="00C72647" w:rsidRPr="00E205A1">
        <w:rPr>
          <w:lang w:val="en-GB"/>
        </w:rPr>
        <w:t xml:space="preserve"> </w:t>
      </w:r>
      <w:r w:rsidR="00F47133" w:rsidRPr="00E205A1">
        <w:rPr>
          <w:lang w:val="en-GB"/>
        </w:rPr>
        <w:t xml:space="preserve">and </w:t>
      </w:r>
      <w:r w:rsidR="00A2028A" w:rsidRPr="00E205A1">
        <w:rPr>
          <w:lang w:val="en-GB"/>
        </w:rPr>
        <w:t>proactive</w:t>
      </w:r>
      <w:r w:rsidR="00437BEE" w:rsidRPr="00E205A1">
        <w:rPr>
          <w:lang w:val="en-GB"/>
        </w:rPr>
        <w:t xml:space="preserve"> online </w:t>
      </w:r>
      <w:r w:rsidR="001E6961" w:rsidRPr="00E205A1">
        <w:rPr>
          <w:lang w:val="en-GB"/>
        </w:rPr>
        <w:t>communication</w:t>
      </w:r>
      <w:r w:rsidRPr="00E205A1">
        <w:rPr>
          <w:lang w:val="en-GB"/>
        </w:rPr>
        <w:t xml:space="preserve"> can improve government services.</w:t>
      </w:r>
    </w:p>
    <w:p w14:paraId="58EE2383" w14:textId="77777777" w:rsidR="00204C98" w:rsidRPr="00E205A1" w:rsidRDefault="002E1983" w:rsidP="00CC3F03">
      <w:pPr>
        <w:pStyle w:val="Heading2"/>
        <w:rPr>
          <w:lang w:val="en-GB"/>
        </w:rPr>
      </w:pPr>
      <w:r w:rsidRPr="00E205A1">
        <w:rPr>
          <w:sz w:val="72"/>
          <w:szCs w:val="72"/>
          <w:lang w:val="en-GB"/>
        </w:rPr>
        <w:lastRenderedPageBreak/>
        <w:t>3.</w:t>
      </w:r>
      <w:r w:rsidRPr="00E205A1">
        <w:rPr>
          <w:lang w:val="en-GB"/>
        </w:rPr>
        <w:t xml:space="preserve"> </w:t>
      </w:r>
      <w:r w:rsidR="00204C98" w:rsidRPr="00E205A1">
        <w:rPr>
          <w:lang w:val="en-GB"/>
        </w:rPr>
        <w:t>S</w:t>
      </w:r>
      <w:r w:rsidR="005E1786" w:rsidRPr="00E205A1">
        <w:rPr>
          <w:lang w:val="en-GB"/>
        </w:rPr>
        <w:t xml:space="preserve">ECTION: </w:t>
      </w:r>
      <w:r w:rsidR="00DB2826" w:rsidRPr="00E205A1">
        <w:rPr>
          <w:lang w:val="en-GB"/>
        </w:rPr>
        <w:t>KEY PERFORMANCE INDICATOR</w:t>
      </w:r>
    </w:p>
    <w:p w14:paraId="42D54C47" w14:textId="77777777" w:rsidR="00C40BD3" w:rsidRPr="00E205A1" w:rsidRDefault="00E205A1" w:rsidP="00C40BD3">
      <w:pPr>
        <w:pStyle w:val="ListParagraph"/>
        <w:numPr>
          <w:ilvl w:val="0"/>
          <w:numId w:val="6"/>
        </w:numPr>
        <w:jc w:val="both"/>
        <w:rPr>
          <w:lang w:val="en-GB"/>
        </w:rPr>
      </w:pPr>
      <w:r w:rsidRPr="00E205A1">
        <w:rPr>
          <w:noProof/>
          <w:lang w:val="en-GB"/>
        </w:rPr>
        <w:drawing>
          <wp:anchor distT="0" distB="0" distL="114300" distR="114300" simplePos="0" relativeHeight="251671552" behindDoc="0" locked="0" layoutInCell="1" allowOverlap="1" wp14:anchorId="4D4495D7" wp14:editId="5B35387D">
            <wp:simplePos x="0" y="0"/>
            <wp:positionH relativeFrom="column">
              <wp:posOffset>42775</wp:posOffset>
            </wp:positionH>
            <wp:positionV relativeFrom="paragraph">
              <wp:posOffset>267970</wp:posOffset>
            </wp:positionV>
            <wp:extent cx="3527425" cy="2919730"/>
            <wp:effectExtent l="0" t="0" r="0" b="0"/>
            <wp:wrapSquare wrapText="bothSides"/>
            <wp:docPr id="22" name="Picture 2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O 2023-2027 - Page 3-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527425" cy="2919730"/>
                    </a:xfrm>
                    <a:prstGeom prst="rect">
                      <a:avLst/>
                    </a:prstGeom>
                  </pic:spPr>
                </pic:pic>
              </a:graphicData>
            </a:graphic>
            <wp14:sizeRelH relativeFrom="page">
              <wp14:pctWidth>0</wp14:pctWidth>
            </wp14:sizeRelH>
            <wp14:sizeRelV relativeFrom="page">
              <wp14:pctHeight>0</wp14:pctHeight>
            </wp14:sizeRelV>
          </wp:anchor>
        </w:drawing>
      </w:r>
      <w:r w:rsidR="000D07AD" w:rsidRPr="00E205A1">
        <w:rPr>
          <w:lang w:val="en-GB"/>
        </w:rPr>
        <w:t xml:space="preserve">All OPII projects </w:t>
      </w:r>
      <w:r w:rsidR="00E1431B" w:rsidRPr="00E205A1">
        <w:rPr>
          <w:lang w:val="en-GB"/>
        </w:rPr>
        <w:t>are based on</w:t>
      </w:r>
      <w:r w:rsidR="00FD01F5" w:rsidRPr="00E205A1">
        <w:rPr>
          <w:lang w:val="en-GB"/>
        </w:rPr>
        <w:t xml:space="preserve"> a</w:t>
      </w:r>
      <w:r w:rsidR="00E1431B" w:rsidRPr="00E205A1">
        <w:rPr>
          <w:lang w:val="en-GB"/>
        </w:rPr>
        <w:t xml:space="preserve"> business case (cost benefit analys</w:t>
      </w:r>
      <w:r w:rsidR="00FD01F5" w:rsidRPr="00E205A1">
        <w:rPr>
          <w:lang w:val="en-GB"/>
        </w:rPr>
        <w:t>i</w:t>
      </w:r>
      <w:r w:rsidR="00E1431B" w:rsidRPr="00E205A1">
        <w:rPr>
          <w:lang w:val="en-GB"/>
        </w:rPr>
        <w:t xml:space="preserve">s) and KPIs. </w:t>
      </w:r>
    </w:p>
    <w:p w14:paraId="0BDC2B05" w14:textId="77777777" w:rsidR="00C40BD3" w:rsidRPr="00E205A1" w:rsidRDefault="000049FF" w:rsidP="000B616A">
      <w:pPr>
        <w:pStyle w:val="ListParagraph"/>
        <w:numPr>
          <w:ilvl w:val="0"/>
          <w:numId w:val="6"/>
        </w:numPr>
        <w:jc w:val="both"/>
        <w:rPr>
          <w:lang w:val="en-GB"/>
        </w:rPr>
      </w:pPr>
      <w:r w:rsidRPr="00E205A1">
        <w:rPr>
          <w:lang w:val="en-GB"/>
        </w:rPr>
        <w:t>The biggest proportion of IT project</w:t>
      </w:r>
      <w:r w:rsidR="00FD01F5" w:rsidRPr="00E205A1">
        <w:rPr>
          <w:lang w:val="en-GB"/>
        </w:rPr>
        <w:t>s</w:t>
      </w:r>
      <w:r w:rsidRPr="00E205A1">
        <w:rPr>
          <w:lang w:val="en-GB"/>
        </w:rPr>
        <w:t xml:space="preserve"> till 2023 </w:t>
      </w:r>
      <w:r w:rsidR="007E0AA2" w:rsidRPr="00E205A1">
        <w:rPr>
          <w:lang w:val="en-GB"/>
        </w:rPr>
        <w:t>was</w:t>
      </w:r>
      <w:r w:rsidRPr="00E205A1">
        <w:rPr>
          <w:lang w:val="en-GB"/>
        </w:rPr>
        <w:t xml:space="preserve"> focused on </w:t>
      </w:r>
      <w:r w:rsidR="00895661" w:rsidRPr="00E205A1">
        <w:rPr>
          <w:b/>
          <w:bCs/>
          <w:lang w:val="en-GB"/>
        </w:rPr>
        <w:t xml:space="preserve">time </w:t>
      </w:r>
      <w:r w:rsidR="007E0AA2" w:rsidRPr="00E205A1">
        <w:rPr>
          <w:b/>
          <w:bCs/>
          <w:lang w:val="en-GB"/>
        </w:rPr>
        <w:t>savings of government employees</w:t>
      </w:r>
      <w:r w:rsidR="009B4BC3" w:rsidRPr="00E205A1">
        <w:rPr>
          <w:lang w:val="en-GB"/>
        </w:rPr>
        <w:t>.</w:t>
      </w:r>
      <w:r w:rsidR="00C82335" w:rsidRPr="00E205A1">
        <w:rPr>
          <w:lang w:val="en-GB"/>
        </w:rPr>
        <w:t xml:space="preserve"> </w:t>
      </w:r>
      <w:r w:rsidR="00275DFE" w:rsidRPr="00E205A1">
        <w:rPr>
          <w:lang w:val="en-GB"/>
        </w:rPr>
        <w:t>Digitalization of government employee</w:t>
      </w:r>
      <w:r w:rsidR="00B44D5D" w:rsidRPr="00E205A1">
        <w:rPr>
          <w:lang w:val="en-GB"/>
        </w:rPr>
        <w:t xml:space="preserve"> workflow</w:t>
      </w:r>
      <w:r w:rsidR="00D63BB7" w:rsidRPr="00E205A1">
        <w:rPr>
          <w:lang w:val="en-GB"/>
        </w:rPr>
        <w:t xml:space="preserve"> and data integration</w:t>
      </w:r>
      <w:r w:rsidR="00B44D5D" w:rsidRPr="00E205A1">
        <w:rPr>
          <w:lang w:val="en-GB"/>
        </w:rPr>
        <w:t xml:space="preserve"> generate </w:t>
      </w:r>
      <w:r w:rsidR="008B0F06" w:rsidRPr="00E205A1">
        <w:rPr>
          <w:lang w:val="en-GB"/>
        </w:rPr>
        <w:t xml:space="preserve">approximately </w:t>
      </w:r>
      <w:r w:rsidR="00ED7048" w:rsidRPr="00E205A1">
        <w:rPr>
          <w:lang w:val="en-GB"/>
        </w:rPr>
        <w:t>30</w:t>
      </w:r>
      <w:r w:rsidR="000D2081" w:rsidRPr="00E205A1">
        <w:rPr>
          <w:lang w:val="en-GB"/>
        </w:rPr>
        <w:t xml:space="preserve">% of all benefits generated by IT projects. </w:t>
      </w:r>
    </w:p>
    <w:p w14:paraId="186B0F86" w14:textId="77777777" w:rsidR="00C40BD3" w:rsidRPr="00E205A1" w:rsidRDefault="00FD01F5" w:rsidP="00527E54">
      <w:pPr>
        <w:pStyle w:val="ListParagraph"/>
        <w:numPr>
          <w:ilvl w:val="0"/>
          <w:numId w:val="6"/>
        </w:numPr>
        <w:jc w:val="both"/>
        <w:rPr>
          <w:lang w:val="en-GB"/>
        </w:rPr>
      </w:pPr>
      <w:r w:rsidRPr="00E205A1">
        <w:rPr>
          <w:lang w:val="en-GB"/>
        </w:rPr>
        <w:t>The s</w:t>
      </w:r>
      <w:r w:rsidR="00C82335" w:rsidRPr="00E205A1">
        <w:rPr>
          <w:lang w:val="en-GB"/>
        </w:rPr>
        <w:t>econd mo</w:t>
      </w:r>
      <w:r w:rsidR="000B616A" w:rsidRPr="00E205A1">
        <w:rPr>
          <w:lang w:val="en-GB"/>
        </w:rPr>
        <w:t>s</w:t>
      </w:r>
      <w:r w:rsidR="00C82335" w:rsidRPr="00E205A1">
        <w:rPr>
          <w:lang w:val="en-GB"/>
        </w:rPr>
        <w:t xml:space="preserve">t common </w:t>
      </w:r>
      <w:r w:rsidRPr="00E205A1">
        <w:rPr>
          <w:lang w:val="en-GB"/>
        </w:rPr>
        <w:t xml:space="preserve">type of </w:t>
      </w:r>
      <w:r w:rsidR="00C82335" w:rsidRPr="00E205A1">
        <w:rPr>
          <w:lang w:val="en-GB"/>
        </w:rPr>
        <w:t xml:space="preserve">KPI </w:t>
      </w:r>
      <w:r w:rsidRPr="00E205A1">
        <w:rPr>
          <w:lang w:val="en-GB"/>
        </w:rPr>
        <w:t xml:space="preserve">in </w:t>
      </w:r>
      <w:r w:rsidR="00C82335" w:rsidRPr="00E205A1">
        <w:rPr>
          <w:lang w:val="en-GB"/>
        </w:rPr>
        <w:t xml:space="preserve">projects are </w:t>
      </w:r>
      <w:r w:rsidR="008637FD" w:rsidRPr="00E205A1">
        <w:rPr>
          <w:lang w:val="en-GB"/>
        </w:rPr>
        <w:t xml:space="preserve">dedicated to </w:t>
      </w:r>
      <w:r w:rsidR="008637FD" w:rsidRPr="00E205A1">
        <w:rPr>
          <w:b/>
          <w:bCs/>
          <w:lang w:val="en-GB"/>
        </w:rPr>
        <w:t>cloud usage savings</w:t>
      </w:r>
      <w:r w:rsidR="008637FD" w:rsidRPr="00E205A1">
        <w:rPr>
          <w:lang w:val="en-GB"/>
        </w:rPr>
        <w:t xml:space="preserve"> and </w:t>
      </w:r>
      <w:r w:rsidR="002C6AAE" w:rsidRPr="00E205A1">
        <w:rPr>
          <w:lang w:val="en-GB"/>
        </w:rPr>
        <w:t xml:space="preserve">the </w:t>
      </w:r>
      <w:r w:rsidR="008637FD" w:rsidRPr="00E205A1">
        <w:rPr>
          <w:lang w:val="en-GB"/>
        </w:rPr>
        <w:t xml:space="preserve">third </w:t>
      </w:r>
      <w:r w:rsidR="00E74CD9" w:rsidRPr="00E205A1">
        <w:rPr>
          <w:lang w:val="en-GB"/>
        </w:rPr>
        <w:t xml:space="preserve">is shared between </w:t>
      </w:r>
      <w:r w:rsidR="00E74CD9" w:rsidRPr="00E205A1">
        <w:rPr>
          <w:b/>
          <w:bCs/>
          <w:lang w:val="en-GB"/>
        </w:rPr>
        <w:t xml:space="preserve">time saving of citizens, </w:t>
      </w:r>
      <w:r w:rsidR="006161D9" w:rsidRPr="00E205A1">
        <w:rPr>
          <w:b/>
          <w:bCs/>
          <w:lang w:val="en-GB"/>
        </w:rPr>
        <w:t xml:space="preserve">time saving of </w:t>
      </w:r>
      <w:r w:rsidR="00E74CD9" w:rsidRPr="00E205A1">
        <w:rPr>
          <w:b/>
          <w:bCs/>
          <w:lang w:val="en-GB"/>
        </w:rPr>
        <w:t>business and qualitative benefits</w:t>
      </w:r>
      <w:r w:rsidR="00E74CD9" w:rsidRPr="00E205A1">
        <w:rPr>
          <w:lang w:val="en-GB"/>
        </w:rPr>
        <w:t xml:space="preserve">. </w:t>
      </w:r>
    </w:p>
    <w:p w14:paraId="5E3F3DB4" w14:textId="77777777" w:rsidR="00C40BD3" w:rsidRPr="00E205A1" w:rsidRDefault="00DB5D2B" w:rsidP="00527E54">
      <w:pPr>
        <w:pStyle w:val="ListParagraph"/>
        <w:numPr>
          <w:ilvl w:val="0"/>
          <w:numId w:val="6"/>
        </w:numPr>
        <w:jc w:val="both"/>
        <w:rPr>
          <w:lang w:val="en-GB"/>
        </w:rPr>
      </w:pPr>
      <w:r w:rsidRPr="00E205A1">
        <w:rPr>
          <w:lang w:val="en-GB"/>
        </w:rPr>
        <w:t xml:space="preserve">KPI for </w:t>
      </w:r>
      <w:r w:rsidR="002C6AAE" w:rsidRPr="00E205A1">
        <w:rPr>
          <w:lang w:val="en-GB"/>
        </w:rPr>
        <w:t xml:space="preserve">the </w:t>
      </w:r>
      <w:r w:rsidRPr="00E205A1">
        <w:rPr>
          <w:lang w:val="en-GB"/>
        </w:rPr>
        <w:t>n</w:t>
      </w:r>
      <w:r w:rsidR="00D63BB7" w:rsidRPr="00E205A1">
        <w:rPr>
          <w:lang w:val="en-GB"/>
        </w:rPr>
        <w:t>ew programming period will be changed based on the new</w:t>
      </w:r>
      <w:r w:rsidR="006173B8" w:rsidRPr="00E205A1">
        <w:rPr>
          <w:lang w:val="en-GB"/>
        </w:rPr>
        <w:t xml:space="preserve"> two</w:t>
      </w:r>
      <w:r w:rsidR="00D63BB7" w:rsidRPr="00E205A1">
        <w:rPr>
          <w:lang w:val="en-GB"/>
        </w:rPr>
        <w:t xml:space="preserve"> priorit</w:t>
      </w:r>
      <w:r w:rsidR="006173B8" w:rsidRPr="00E205A1">
        <w:rPr>
          <w:lang w:val="en-GB"/>
        </w:rPr>
        <w:t xml:space="preserve">ies. Success of reducing bureaucracy burden will be measured on OP level and on each project level by </w:t>
      </w:r>
      <w:r w:rsidR="002C6AAE" w:rsidRPr="00E205A1">
        <w:rPr>
          <w:lang w:val="en-GB"/>
        </w:rPr>
        <w:t xml:space="preserve">the </w:t>
      </w:r>
      <w:r w:rsidR="006173B8" w:rsidRPr="00E205A1">
        <w:rPr>
          <w:b/>
          <w:bCs/>
          <w:lang w:val="en-GB"/>
        </w:rPr>
        <w:t>amount of money saved by citizen and business</w:t>
      </w:r>
      <w:r w:rsidR="00212167" w:rsidRPr="00E205A1">
        <w:rPr>
          <w:lang w:val="en-GB"/>
        </w:rPr>
        <w:t>. Success of government as a platform priority will be measured by digital take-up</w:t>
      </w:r>
      <w:r w:rsidR="00527E54" w:rsidRPr="00E205A1">
        <w:rPr>
          <w:lang w:val="en-GB"/>
        </w:rPr>
        <w:t xml:space="preserve">. It represents </w:t>
      </w:r>
      <w:r w:rsidR="00212167" w:rsidRPr="00E205A1">
        <w:rPr>
          <w:b/>
          <w:bCs/>
          <w:lang w:val="en-GB"/>
        </w:rPr>
        <w:t>the percentage of people using government services online in relation to other channels, for example paper or telephone</w:t>
      </w:r>
      <w:r w:rsidR="00212167" w:rsidRPr="00E205A1">
        <w:rPr>
          <w:lang w:val="en-GB"/>
        </w:rPr>
        <w:t xml:space="preserve">. </w:t>
      </w:r>
      <w:r w:rsidR="00527E54" w:rsidRPr="00E205A1">
        <w:rPr>
          <w:lang w:val="en-GB"/>
        </w:rPr>
        <w:t xml:space="preserve">Digital take-up will be also a project </w:t>
      </w:r>
      <w:r w:rsidR="00BB12F4" w:rsidRPr="00E205A1">
        <w:rPr>
          <w:lang w:val="en-GB"/>
        </w:rPr>
        <w:t xml:space="preserve">KPI and OP KPI. We will face a </w:t>
      </w:r>
      <w:r w:rsidR="00CA54CD" w:rsidRPr="00E205A1">
        <w:rPr>
          <w:b/>
          <w:bCs/>
          <w:lang w:val="en-GB"/>
        </w:rPr>
        <w:t>qualitative benefit</w:t>
      </w:r>
      <w:r w:rsidR="00BB12F4" w:rsidRPr="00E205A1">
        <w:rPr>
          <w:lang w:val="en-GB"/>
        </w:rPr>
        <w:t xml:space="preserve"> </w:t>
      </w:r>
      <w:r w:rsidR="00CA54CD" w:rsidRPr="00E205A1">
        <w:rPr>
          <w:lang w:val="en-GB"/>
        </w:rPr>
        <w:t>used in business case, therefore this kind of KPI will be kep</w:t>
      </w:r>
      <w:r w:rsidR="003D6A07" w:rsidRPr="00E205A1">
        <w:rPr>
          <w:lang w:val="en-GB"/>
        </w:rPr>
        <w:t>t, but</w:t>
      </w:r>
      <w:r w:rsidR="00CA54CD" w:rsidRPr="00E205A1">
        <w:rPr>
          <w:lang w:val="en-GB"/>
        </w:rPr>
        <w:t xml:space="preserve"> only on project level</w:t>
      </w:r>
      <w:r w:rsidR="00B63A97" w:rsidRPr="00E205A1">
        <w:rPr>
          <w:lang w:val="en-GB"/>
        </w:rPr>
        <w:t xml:space="preserve"> and in compliance to the two priorities. </w:t>
      </w:r>
    </w:p>
    <w:p w14:paraId="3B2EFACE" w14:textId="77777777" w:rsidR="00C40BD3" w:rsidRPr="00E205A1" w:rsidRDefault="00DA7FFE" w:rsidP="005C6A56">
      <w:pPr>
        <w:pStyle w:val="ListParagraph"/>
        <w:numPr>
          <w:ilvl w:val="0"/>
          <w:numId w:val="6"/>
        </w:numPr>
        <w:jc w:val="both"/>
        <w:rPr>
          <w:lang w:val="en-GB"/>
        </w:rPr>
      </w:pPr>
      <w:r w:rsidRPr="00E205A1">
        <w:rPr>
          <w:noProof/>
          <w:lang w:val="en-GB" w:eastAsia="sk-SK"/>
        </w:rPr>
        <w:drawing>
          <wp:anchor distT="0" distB="0" distL="114300" distR="114300" simplePos="0" relativeHeight="251661312" behindDoc="0" locked="0" layoutInCell="1" allowOverlap="1" wp14:anchorId="23C4F605" wp14:editId="561ED2CA">
            <wp:simplePos x="0" y="0"/>
            <wp:positionH relativeFrom="column">
              <wp:posOffset>-635</wp:posOffset>
            </wp:positionH>
            <wp:positionV relativeFrom="paragraph">
              <wp:posOffset>109220</wp:posOffset>
            </wp:positionV>
            <wp:extent cx="3342640" cy="1608455"/>
            <wp:effectExtent l="0" t="0" r="0" b="4445"/>
            <wp:wrapSquare wrapText="bothSides"/>
            <wp:docPr id="11" name="Picture 11" descr="A picture containing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42640" cy="1608455"/>
                    </a:xfrm>
                    <a:prstGeom prst="rect">
                      <a:avLst/>
                    </a:prstGeom>
                  </pic:spPr>
                </pic:pic>
              </a:graphicData>
            </a:graphic>
          </wp:anchor>
        </w:drawing>
      </w:r>
      <w:r w:rsidR="004443F8" w:rsidRPr="00E205A1">
        <w:rPr>
          <w:lang w:val="en-GB"/>
        </w:rPr>
        <w:t>Digital take-up potential is show</w:t>
      </w:r>
      <w:r w:rsidR="002C6AAE" w:rsidRPr="00E205A1">
        <w:rPr>
          <w:lang w:val="en-GB"/>
        </w:rPr>
        <w:t>n</w:t>
      </w:r>
      <w:r w:rsidR="004443F8" w:rsidRPr="00E205A1">
        <w:rPr>
          <w:lang w:val="en-GB"/>
        </w:rPr>
        <w:t xml:space="preserve"> on figure where only </w:t>
      </w:r>
      <w:r w:rsidR="00F31AAE" w:rsidRPr="00E205A1">
        <w:rPr>
          <w:lang w:val="en-GB"/>
        </w:rPr>
        <w:t xml:space="preserve">100 thousand citizens use </w:t>
      </w:r>
      <w:r w:rsidR="006C2E0C" w:rsidRPr="00E205A1">
        <w:rPr>
          <w:lang w:val="en-GB"/>
        </w:rPr>
        <w:t xml:space="preserve">the </w:t>
      </w:r>
      <w:r w:rsidR="00CE3944" w:rsidRPr="00E205A1">
        <w:rPr>
          <w:lang w:val="en-GB"/>
        </w:rPr>
        <w:t xml:space="preserve">government </w:t>
      </w:r>
      <w:r w:rsidR="00F31AAE" w:rsidRPr="00E205A1">
        <w:rPr>
          <w:lang w:val="en-GB"/>
        </w:rPr>
        <w:t>digital</w:t>
      </w:r>
      <w:r w:rsidR="00CE3944" w:rsidRPr="00E205A1">
        <w:rPr>
          <w:lang w:val="en-GB"/>
        </w:rPr>
        <w:t xml:space="preserve"> mailbox. Potential</w:t>
      </w:r>
      <w:r w:rsidR="00984F46" w:rsidRPr="00E205A1">
        <w:rPr>
          <w:lang w:val="en-GB"/>
        </w:rPr>
        <w:t xml:space="preserve"> for </w:t>
      </w:r>
      <w:r w:rsidR="006C2E0C" w:rsidRPr="00E205A1">
        <w:rPr>
          <w:lang w:val="en-GB"/>
        </w:rPr>
        <w:t xml:space="preserve">the </w:t>
      </w:r>
      <w:r w:rsidR="00984F46" w:rsidRPr="00E205A1">
        <w:rPr>
          <w:lang w:val="en-GB"/>
        </w:rPr>
        <w:t>new programming period</w:t>
      </w:r>
      <w:r w:rsidR="00CE3944" w:rsidRPr="00E205A1">
        <w:rPr>
          <w:lang w:val="en-GB"/>
        </w:rPr>
        <w:t xml:space="preserve"> is</w:t>
      </w:r>
      <w:r w:rsidR="006C2E0C" w:rsidRPr="00E205A1">
        <w:rPr>
          <w:lang w:val="en-GB"/>
        </w:rPr>
        <w:t xml:space="preserve"> to reach</w:t>
      </w:r>
      <w:r w:rsidR="00CE3944" w:rsidRPr="00E205A1">
        <w:rPr>
          <w:lang w:val="en-GB"/>
        </w:rPr>
        <w:t xml:space="preserve"> up to </w:t>
      </w:r>
      <w:r w:rsidR="00984F46" w:rsidRPr="00E205A1">
        <w:rPr>
          <w:lang w:val="en-GB"/>
        </w:rPr>
        <w:t>2,5 million users</w:t>
      </w:r>
      <w:r w:rsidR="00495253" w:rsidRPr="00E205A1">
        <w:rPr>
          <w:lang w:val="en-GB"/>
        </w:rPr>
        <w:t xml:space="preserve"> (economically active population)</w:t>
      </w:r>
      <w:r w:rsidR="00984F46" w:rsidRPr="00E205A1">
        <w:rPr>
          <w:lang w:val="en-GB"/>
        </w:rPr>
        <w:t xml:space="preserve">. </w:t>
      </w:r>
    </w:p>
    <w:p w14:paraId="14589791" w14:textId="77777777" w:rsidR="00895661" w:rsidRPr="00E205A1" w:rsidRDefault="005277A6" w:rsidP="005C6A56">
      <w:pPr>
        <w:pStyle w:val="ListParagraph"/>
        <w:numPr>
          <w:ilvl w:val="0"/>
          <w:numId w:val="6"/>
        </w:numPr>
        <w:jc w:val="both"/>
        <w:rPr>
          <w:lang w:val="en-GB"/>
        </w:rPr>
      </w:pPr>
      <w:r w:rsidRPr="00E205A1">
        <w:rPr>
          <w:lang w:val="en-GB"/>
        </w:rPr>
        <w:t>P</w:t>
      </w:r>
      <w:r w:rsidR="00717012" w:rsidRPr="00E205A1">
        <w:rPr>
          <w:lang w:val="en-GB"/>
        </w:rPr>
        <w:t>roject aimed on</w:t>
      </w:r>
      <w:r w:rsidR="00707B55" w:rsidRPr="00E205A1">
        <w:rPr>
          <w:lang w:val="en-GB"/>
        </w:rPr>
        <w:t xml:space="preserve"> </w:t>
      </w:r>
      <w:r w:rsidR="00707B55" w:rsidRPr="00E205A1">
        <w:rPr>
          <w:b/>
          <w:bCs/>
          <w:lang w:val="en-GB"/>
        </w:rPr>
        <w:t xml:space="preserve">government </w:t>
      </w:r>
      <w:r w:rsidR="00ED79CD" w:rsidRPr="00E205A1">
        <w:rPr>
          <w:b/>
          <w:bCs/>
          <w:lang w:val="en-GB"/>
        </w:rPr>
        <w:t xml:space="preserve">cost </w:t>
      </w:r>
      <w:r w:rsidR="00707B55" w:rsidRPr="00E205A1">
        <w:rPr>
          <w:b/>
          <w:bCs/>
          <w:lang w:val="en-GB"/>
        </w:rPr>
        <w:t>savings</w:t>
      </w:r>
      <w:r w:rsidR="00707B55" w:rsidRPr="00E205A1">
        <w:rPr>
          <w:lang w:val="en-GB"/>
        </w:rPr>
        <w:t xml:space="preserve"> such as time savings of government employees but also </w:t>
      </w:r>
      <w:r w:rsidR="00717012" w:rsidRPr="00E205A1">
        <w:rPr>
          <w:lang w:val="en-GB"/>
        </w:rPr>
        <w:t xml:space="preserve">cloud </w:t>
      </w:r>
      <w:r w:rsidR="00707B55" w:rsidRPr="00E205A1">
        <w:rPr>
          <w:lang w:val="en-GB"/>
        </w:rPr>
        <w:t>based project</w:t>
      </w:r>
      <w:r w:rsidR="00BB181A" w:rsidRPr="00E205A1">
        <w:rPr>
          <w:lang w:val="en-GB"/>
        </w:rPr>
        <w:t>s (</w:t>
      </w:r>
      <w:proofErr w:type="spellStart"/>
      <w:r w:rsidR="00BB181A" w:rsidRPr="00E205A1">
        <w:rPr>
          <w:lang w:val="en-GB"/>
        </w:rPr>
        <w:t>Iaas</w:t>
      </w:r>
      <w:proofErr w:type="spellEnd"/>
      <w:r w:rsidR="00BB181A" w:rsidRPr="00E205A1">
        <w:rPr>
          <w:lang w:val="en-GB"/>
        </w:rPr>
        <w:t xml:space="preserve">, </w:t>
      </w:r>
      <w:proofErr w:type="spellStart"/>
      <w:r w:rsidR="00BB181A" w:rsidRPr="00E205A1">
        <w:rPr>
          <w:lang w:val="en-GB"/>
        </w:rPr>
        <w:t>PaaS</w:t>
      </w:r>
      <w:proofErr w:type="spellEnd"/>
      <w:r w:rsidR="00BB181A" w:rsidRPr="00E205A1">
        <w:rPr>
          <w:lang w:val="en-GB"/>
        </w:rPr>
        <w:t>, SaaS)</w:t>
      </w:r>
      <w:r w:rsidR="00707B55" w:rsidRPr="00E205A1">
        <w:rPr>
          <w:lang w:val="en-GB"/>
        </w:rPr>
        <w:t xml:space="preserve"> </w:t>
      </w:r>
      <w:r w:rsidR="00B73D11" w:rsidRPr="00E205A1">
        <w:rPr>
          <w:lang w:val="en-GB"/>
        </w:rPr>
        <w:t xml:space="preserve">will be in </w:t>
      </w:r>
      <w:r w:rsidR="006C2E0C" w:rsidRPr="00E205A1">
        <w:rPr>
          <w:lang w:val="en-GB"/>
        </w:rPr>
        <w:t xml:space="preserve">the </w:t>
      </w:r>
      <w:r w:rsidR="00B73D11" w:rsidRPr="00E205A1">
        <w:rPr>
          <w:lang w:val="en-GB"/>
        </w:rPr>
        <w:t>new programming period financed by state budget</w:t>
      </w:r>
      <w:r w:rsidR="00DC4103" w:rsidRPr="00E205A1">
        <w:rPr>
          <w:lang w:val="en-GB"/>
        </w:rPr>
        <w:t xml:space="preserve">. This channel with coordination of Ministry of finance </w:t>
      </w:r>
      <w:r w:rsidR="00BE2758" w:rsidRPr="00E205A1">
        <w:rPr>
          <w:lang w:val="en-GB"/>
        </w:rPr>
        <w:t>will</w:t>
      </w:r>
      <w:r w:rsidR="00DC4103" w:rsidRPr="00E205A1">
        <w:rPr>
          <w:lang w:val="en-GB"/>
        </w:rPr>
        <w:t xml:space="preserve"> </w:t>
      </w:r>
      <w:r w:rsidR="00B73D11" w:rsidRPr="00E205A1">
        <w:rPr>
          <w:lang w:val="en-GB"/>
        </w:rPr>
        <w:t xml:space="preserve">enforce </w:t>
      </w:r>
      <w:r w:rsidR="003509BF" w:rsidRPr="00E205A1">
        <w:rPr>
          <w:lang w:val="en-GB"/>
        </w:rPr>
        <w:t>reduction of</w:t>
      </w:r>
      <w:r w:rsidR="00BE2758" w:rsidRPr="00E205A1">
        <w:rPr>
          <w:lang w:val="en-GB"/>
        </w:rPr>
        <w:t xml:space="preserve"> spending</w:t>
      </w:r>
      <w:r w:rsidR="003509BF" w:rsidRPr="00E205A1">
        <w:rPr>
          <w:lang w:val="en-GB"/>
        </w:rPr>
        <w:t xml:space="preserve"> </w:t>
      </w:r>
      <w:r w:rsidR="00BE2758" w:rsidRPr="00E205A1">
        <w:rPr>
          <w:lang w:val="en-GB"/>
        </w:rPr>
        <w:t xml:space="preserve">on </w:t>
      </w:r>
      <w:r w:rsidR="003509BF" w:rsidRPr="00E205A1">
        <w:rPr>
          <w:lang w:val="en-GB"/>
        </w:rPr>
        <w:t xml:space="preserve">employees </w:t>
      </w:r>
      <w:r w:rsidR="00B204F7" w:rsidRPr="00E205A1">
        <w:rPr>
          <w:lang w:val="en-GB"/>
        </w:rPr>
        <w:t xml:space="preserve">or </w:t>
      </w:r>
      <w:r w:rsidR="003509BF" w:rsidRPr="00E205A1">
        <w:rPr>
          <w:lang w:val="en-GB"/>
        </w:rPr>
        <w:t>on new hardware</w:t>
      </w:r>
      <w:r w:rsidRPr="00E205A1">
        <w:rPr>
          <w:lang w:val="en-GB"/>
        </w:rPr>
        <w:t xml:space="preserve"> and software</w:t>
      </w:r>
      <w:r w:rsidR="003509BF" w:rsidRPr="00E205A1">
        <w:rPr>
          <w:lang w:val="en-GB"/>
        </w:rPr>
        <w:t xml:space="preserve"> </w:t>
      </w:r>
      <w:r w:rsidR="00BE2758" w:rsidRPr="00E205A1">
        <w:rPr>
          <w:lang w:val="en-GB"/>
        </w:rPr>
        <w:t>licences. All can be done t</w:t>
      </w:r>
      <w:r w:rsidR="00F07F6C" w:rsidRPr="00E205A1">
        <w:rPr>
          <w:lang w:val="en-GB"/>
        </w:rPr>
        <w:t>hank</w:t>
      </w:r>
      <w:r w:rsidR="006C2E0C" w:rsidRPr="00E205A1">
        <w:rPr>
          <w:lang w:val="en-GB"/>
        </w:rPr>
        <w:t>s</w:t>
      </w:r>
      <w:r w:rsidR="00F07F6C" w:rsidRPr="00E205A1">
        <w:rPr>
          <w:lang w:val="en-GB"/>
        </w:rPr>
        <w:t xml:space="preserve"> to private government cloud but also a very successful initiative of public cloud certification</w:t>
      </w:r>
      <w:r w:rsidR="0043467B" w:rsidRPr="00E205A1">
        <w:rPr>
          <w:lang w:val="en-GB"/>
        </w:rPr>
        <w:t xml:space="preserve"> in Slovakia – hybrid cloud</w:t>
      </w:r>
      <w:r w:rsidR="00F07F6C" w:rsidRPr="00E205A1">
        <w:rPr>
          <w:lang w:val="en-GB"/>
        </w:rPr>
        <w:t xml:space="preserve">. </w:t>
      </w:r>
    </w:p>
    <w:p w14:paraId="25BB4A47" w14:textId="77777777" w:rsidR="00204C98" w:rsidRPr="00E205A1" w:rsidRDefault="006A133B" w:rsidP="00CC3F03">
      <w:pPr>
        <w:pStyle w:val="Heading2"/>
        <w:rPr>
          <w:lang w:val="en-GB"/>
        </w:rPr>
      </w:pPr>
      <w:r w:rsidRPr="00E205A1">
        <w:rPr>
          <w:sz w:val="72"/>
          <w:szCs w:val="72"/>
          <w:lang w:val="en-GB"/>
        </w:rPr>
        <w:lastRenderedPageBreak/>
        <w:t>4.</w:t>
      </w:r>
      <w:r w:rsidRPr="00E205A1">
        <w:rPr>
          <w:lang w:val="en-GB"/>
        </w:rPr>
        <w:t xml:space="preserve"> </w:t>
      </w:r>
      <w:r w:rsidR="007879FC" w:rsidRPr="00E205A1">
        <w:rPr>
          <w:lang w:val="en-GB"/>
        </w:rPr>
        <w:t>SECTION</w:t>
      </w:r>
      <w:r w:rsidR="003A6916" w:rsidRPr="00E205A1">
        <w:rPr>
          <w:lang w:val="en-GB"/>
        </w:rPr>
        <w:t>: PRORITIZATION</w:t>
      </w:r>
    </w:p>
    <w:p w14:paraId="1D1D4CE7" w14:textId="77777777" w:rsidR="00C40BD3" w:rsidRPr="00E205A1" w:rsidRDefault="00E14178" w:rsidP="00BD2BA5">
      <w:pPr>
        <w:pStyle w:val="ListParagraph"/>
        <w:numPr>
          <w:ilvl w:val="0"/>
          <w:numId w:val="7"/>
        </w:numPr>
        <w:jc w:val="both"/>
        <w:rPr>
          <w:lang w:val="en-GB"/>
        </w:rPr>
      </w:pPr>
      <w:r w:rsidRPr="00E205A1">
        <w:rPr>
          <w:lang w:val="en-GB"/>
        </w:rPr>
        <w:t xml:space="preserve">Lesson learnt from </w:t>
      </w:r>
      <w:r w:rsidR="006C2E0C" w:rsidRPr="00E205A1">
        <w:rPr>
          <w:lang w:val="en-GB"/>
        </w:rPr>
        <w:t xml:space="preserve">the </w:t>
      </w:r>
      <w:r w:rsidRPr="00E205A1">
        <w:rPr>
          <w:lang w:val="en-GB"/>
        </w:rPr>
        <w:t xml:space="preserve">current programming period can be structured in to two areas. </w:t>
      </w:r>
      <w:r w:rsidR="006C2E0C" w:rsidRPr="00E205A1">
        <w:rPr>
          <w:lang w:val="en-GB"/>
        </w:rPr>
        <w:t>The f</w:t>
      </w:r>
      <w:r w:rsidRPr="00E205A1">
        <w:rPr>
          <w:lang w:val="en-GB"/>
        </w:rPr>
        <w:t>irst area</w:t>
      </w:r>
      <w:r w:rsidR="00193A00" w:rsidRPr="00E205A1">
        <w:rPr>
          <w:lang w:val="en-GB"/>
        </w:rPr>
        <w:t xml:space="preserve"> is related to complicated and </w:t>
      </w:r>
      <w:r w:rsidR="00D14254" w:rsidRPr="00E205A1">
        <w:rPr>
          <w:lang w:val="en-GB"/>
        </w:rPr>
        <w:t>difficult OP strategy consisting of nine specific objectives</w:t>
      </w:r>
      <w:r w:rsidR="00DB07E6" w:rsidRPr="00E205A1">
        <w:rPr>
          <w:lang w:val="en-GB"/>
        </w:rPr>
        <w:t xml:space="preserve">. </w:t>
      </w:r>
      <w:r w:rsidR="00436CF5" w:rsidRPr="00E205A1">
        <w:rPr>
          <w:lang w:val="en-GB"/>
        </w:rPr>
        <w:t xml:space="preserve">It brings lack of concentration </w:t>
      </w:r>
      <w:r w:rsidR="00525C72" w:rsidRPr="00E205A1">
        <w:rPr>
          <w:lang w:val="en-GB"/>
        </w:rPr>
        <w:t>on delivery and create</w:t>
      </w:r>
      <w:r w:rsidR="006C2E0C" w:rsidRPr="00E205A1">
        <w:rPr>
          <w:lang w:val="en-GB"/>
        </w:rPr>
        <w:t>s</w:t>
      </w:r>
      <w:r w:rsidR="00525C72" w:rsidRPr="00E205A1">
        <w:rPr>
          <w:lang w:val="en-GB"/>
        </w:rPr>
        <w:t xml:space="preserve"> </w:t>
      </w:r>
      <w:r w:rsidR="006C2E0C" w:rsidRPr="00E205A1">
        <w:rPr>
          <w:lang w:val="en-GB"/>
        </w:rPr>
        <w:t xml:space="preserve">an </w:t>
      </w:r>
      <w:r w:rsidR="00525C72" w:rsidRPr="00E205A1">
        <w:rPr>
          <w:lang w:val="en-GB"/>
        </w:rPr>
        <w:t xml:space="preserve">environment for complex </w:t>
      </w:r>
      <w:r w:rsidR="00452D11" w:rsidRPr="00E205A1">
        <w:rPr>
          <w:lang w:val="en-GB"/>
        </w:rPr>
        <w:t>project</w:t>
      </w:r>
      <w:r w:rsidR="006C2E0C" w:rsidRPr="00E205A1">
        <w:rPr>
          <w:lang w:val="en-GB"/>
        </w:rPr>
        <w:t>s</w:t>
      </w:r>
      <w:r w:rsidR="00452D11" w:rsidRPr="00E205A1">
        <w:rPr>
          <w:lang w:val="en-GB"/>
        </w:rPr>
        <w:t xml:space="preserve"> many times aimed on more than three specific objectives. </w:t>
      </w:r>
    </w:p>
    <w:p w14:paraId="081BFBDC" w14:textId="77777777" w:rsidR="00C40BD3" w:rsidRPr="00E205A1" w:rsidRDefault="006C2E0C" w:rsidP="00BD2BA5">
      <w:pPr>
        <w:pStyle w:val="ListParagraph"/>
        <w:numPr>
          <w:ilvl w:val="0"/>
          <w:numId w:val="7"/>
        </w:numPr>
        <w:jc w:val="both"/>
        <w:rPr>
          <w:lang w:val="en-GB"/>
        </w:rPr>
      </w:pPr>
      <w:r w:rsidRPr="00E205A1">
        <w:rPr>
          <w:lang w:val="en-GB"/>
        </w:rPr>
        <w:t>The s</w:t>
      </w:r>
      <w:r w:rsidR="00DB07E6" w:rsidRPr="00E205A1">
        <w:rPr>
          <w:lang w:val="en-GB"/>
        </w:rPr>
        <w:t xml:space="preserve">econd area </w:t>
      </w:r>
      <w:r w:rsidR="00E60B67" w:rsidRPr="00E205A1">
        <w:rPr>
          <w:lang w:val="en-GB"/>
        </w:rPr>
        <w:t xml:space="preserve">is </w:t>
      </w:r>
      <w:r w:rsidR="00680980" w:rsidRPr="00E205A1">
        <w:rPr>
          <w:lang w:val="en-GB"/>
        </w:rPr>
        <w:t>an</w:t>
      </w:r>
      <w:r w:rsidR="00E60B67" w:rsidRPr="00E205A1">
        <w:rPr>
          <w:lang w:val="en-GB"/>
        </w:rPr>
        <w:t xml:space="preserve"> issue</w:t>
      </w:r>
      <w:r w:rsidR="00DB07E6" w:rsidRPr="00E205A1">
        <w:rPr>
          <w:lang w:val="en-GB"/>
        </w:rPr>
        <w:t xml:space="preserve"> due to complicated coordination mechanism </w:t>
      </w:r>
      <w:r w:rsidR="00436CF5" w:rsidRPr="00E205A1">
        <w:rPr>
          <w:lang w:val="en-GB"/>
        </w:rPr>
        <w:t xml:space="preserve">between OPII and OPEPA. This coordination </w:t>
      </w:r>
      <w:r w:rsidR="00E60B67" w:rsidRPr="00E205A1">
        <w:rPr>
          <w:lang w:val="en-GB"/>
        </w:rPr>
        <w:t>mechanism was designed to ensure</w:t>
      </w:r>
      <w:r w:rsidR="00AC6345" w:rsidRPr="00E205A1">
        <w:rPr>
          <w:lang w:val="en-GB"/>
        </w:rPr>
        <w:t xml:space="preserve"> </w:t>
      </w:r>
      <w:r w:rsidR="00E60B67" w:rsidRPr="00E205A1">
        <w:rPr>
          <w:lang w:val="en-GB"/>
        </w:rPr>
        <w:t xml:space="preserve">digitalization of new processes not the existing one created in “paper world”. </w:t>
      </w:r>
      <w:r w:rsidR="00187ABF" w:rsidRPr="00E205A1">
        <w:rPr>
          <w:lang w:val="en-GB"/>
        </w:rPr>
        <w:t xml:space="preserve">Moreover, organization </w:t>
      </w:r>
      <w:r w:rsidR="002A2F53" w:rsidRPr="00E205A1">
        <w:rPr>
          <w:lang w:val="en-GB"/>
        </w:rPr>
        <w:t xml:space="preserve">should </w:t>
      </w:r>
      <w:r w:rsidR="003D1373" w:rsidRPr="00E205A1">
        <w:rPr>
          <w:lang w:val="en-GB"/>
        </w:rPr>
        <w:t>manage</w:t>
      </w:r>
      <w:r w:rsidR="002A2F53" w:rsidRPr="00E205A1">
        <w:rPr>
          <w:lang w:val="en-GB"/>
        </w:rPr>
        <w:t xml:space="preserve"> not only big process and IT changes, but also change in legislation and </w:t>
      </w:r>
      <w:r w:rsidR="00D923C4" w:rsidRPr="00E205A1">
        <w:rPr>
          <w:lang w:val="en-GB"/>
        </w:rPr>
        <w:t xml:space="preserve">services provided to citizens. </w:t>
      </w:r>
    </w:p>
    <w:p w14:paraId="3499D468" w14:textId="77777777" w:rsidR="0022670B" w:rsidRPr="00E205A1" w:rsidRDefault="0022670B" w:rsidP="0022670B">
      <w:pPr>
        <w:jc w:val="both"/>
        <w:rPr>
          <w:lang w:val="en-GB"/>
        </w:rPr>
      </w:pPr>
    </w:p>
    <w:p w14:paraId="0C765713" w14:textId="77777777" w:rsidR="0022670B" w:rsidRPr="00E205A1" w:rsidRDefault="0022670B" w:rsidP="0022670B">
      <w:pPr>
        <w:jc w:val="both"/>
        <w:rPr>
          <w:lang w:val="en-GB"/>
        </w:rPr>
      </w:pPr>
      <w:r w:rsidRPr="00E205A1">
        <w:rPr>
          <w:noProof/>
          <w:lang w:val="en-GB"/>
        </w:rPr>
        <w:drawing>
          <wp:anchor distT="0" distB="0" distL="114300" distR="114300" simplePos="0" relativeHeight="251668480" behindDoc="0" locked="0" layoutInCell="1" allowOverlap="1" wp14:anchorId="77897954" wp14:editId="70008592">
            <wp:simplePos x="0" y="0"/>
            <wp:positionH relativeFrom="column">
              <wp:posOffset>0</wp:posOffset>
            </wp:positionH>
            <wp:positionV relativeFrom="paragraph">
              <wp:posOffset>1270</wp:posOffset>
            </wp:positionV>
            <wp:extent cx="4190365" cy="2720340"/>
            <wp:effectExtent l="0" t="0" r="0" b="0"/>
            <wp:wrapSquare wrapText="bothSides"/>
            <wp:docPr id="18" name="Picture 18"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O 2023-2027 - Page 4-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90365" cy="2720340"/>
                    </a:xfrm>
                    <a:prstGeom prst="rect">
                      <a:avLst/>
                    </a:prstGeom>
                  </pic:spPr>
                </pic:pic>
              </a:graphicData>
            </a:graphic>
            <wp14:sizeRelH relativeFrom="page">
              <wp14:pctWidth>0</wp14:pctWidth>
            </wp14:sizeRelH>
            <wp14:sizeRelV relativeFrom="page">
              <wp14:pctHeight>0</wp14:pctHeight>
            </wp14:sizeRelV>
          </wp:anchor>
        </w:drawing>
      </w:r>
    </w:p>
    <w:p w14:paraId="32F73DB5" w14:textId="77777777" w:rsidR="00C40BD3" w:rsidRPr="00E205A1" w:rsidRDefault="00D923C4" w:rsidP="00BD2BA5">
      <w:pPr>
        <w:pStyle w:val="ListParagraph"/>
        <w:numPr>
          <w:ilvl w:val="0"/>
          <w:numId w:val="7"/>
        </w:numPr>
        <w:jc w:val="both"/>
        <w:rPr>
          <w:lang w:val="en-GB"/>
        </w:rPr>
      </w:pPr>
      <w:r w:rsidRPr="00E205A1">
        <w:rPr>
          <w:lang w:val="en-GB"/>
        </w:rPr>
        <w:t>The new pro</w:t>
      </w:r>
      <w:r w:rsidR="006C2E0C" w:rsidRPr="00E205A1">
        <w:rPr>
          <w:lang w:val="en-GB"/>
        </w:rPr>
        <w:t xml:space="preserve">gramming period sees IT projects as </w:t>
      </w:r>
      <w:r w:rsidRPr="00E205A1">
        <w:rPr>
          <w:lang w:val="en-GB"/>
        </w:rPr>
        <w:t>small</w:t>
      </w:r>
      <w:r w:rsidR="00BD2BA5" w:rsidRPr="00E205A1">
        <w:rPr>
          <w:lang w:val="en-GB"/>
        </w:rPr>
        <w:t>er and</w:t>
      </w:r>
      <w:r w:rsidRPr="00E205A1">
        <w:rPr>
          <w:lang w:val="en-GB"/>
        </w:rPr>
        <w:t xml:space="preserve"> delivery oriented. </w:t>
      </w:r>
      <w:r w:rsidR="003D1373" w:rsidRPr="00E205A1">
        <w:rPr>
          <w:lang w:val="en-GB"/>
        </w:rPr>
        <w:t>Therefore,</w:t>
      </w:r>
      <w:r w:rsidR="00F833D3" w:rsidRPr="00E205A1">
        <w:rPr>
          <w:lang w:val="en-GB"/>
        </w:rPr>
        <w:t xml:space="preserve"> new simple project assessment need</w:t>
      </w:r>
      <w:r w:rsidR="003D1373" w:rsidRPr="00E205A1">
        <w:rPr>
          <w:lang w:val="en-GB"/>
        </w:rPr>
        <w:t>s</w:t>
      </w:r>
      <w:r w:rsidR="00F833D3" w:rsidRPr="00E205A1">
        <w:rPr>
          <w:lang w:val="en-GB"/>
        </w:rPr>
        <w:t xml:space="preserve"> to be implemented. </w:t>
      </w:r>
    </w:p>
    <w:p w14:paraId="52071F5F" w14:textId="77777777" w:rsidR="00C40BD3" w:rsidRPr="00E205A1" w:rsidRDefault="00D85B03" w:rsidP="00BD2BA5">
      <w:pPr>
        <w:pStyle w:val="ListParagraph"/>
        <w:numPr>
          <w:ilvl w:val="0"/>
          <w:numId w:val="7"/>
        </w:numPr>
        <w:jc w:val="both"/>
        <w:rPr>
          <w:lang w:val="en-GB"/>
        </w:rPr>
      </w:pPr>
      <w:r w:rsidRPr="00E205A1">
        <w:rPr>
          <w:lang w:val="en-GB"/>
        </w:rPr>
        <w:t xml:space="preserve">Figure shows simplicity that we want </w:t>
      </w:r>
      <w:r w:rsidR="006C2E0C" w:rsidRPr="00E205A1">
        <w:rPr>
          <w:lang w:val="en-GB"/>
        </w:rPr>
        <w:t>to achieve based on two priorities</w:t>
      </w:r>
      <w:r w:rsidRPr="00E205A1">
        <w:rPr>
          <w:lang w:val="en-GB"/>
        </w:rPr>
        <w:t xml:space="preserve"> with additional </w:t>
      </w:r>
      <w:r w:rsidRPr="00E205A1">
        <w:rPr>
          <w:b/>
          <w:bCs/>
          <w:lang w:val="en-GB"/>
        </w:rPr>
        <w:t xml:space="preserve">horizontal </w:t>
      </w:r>
      <w:proofErr w:type="spellStart"/>
      <w:r w:rsidRPr="00E205A1">
        <w:rPr>
          <w:b/>
          <w:bCs/>
          <w:lang w:val="en-GB"/>
        </w:rPr>
        <w:t>prioritization</w:t>
      </w:r>
      <w:proofErr w:type="spellEnd"/>
      <w:r w:rsidRPr="00E205A1">
        <w:rPr>
          <w:b/>
          <w:bCs/>
          <w:lang w:val="en-GB"/>
        </w:rPr>
        <w:t xml:space="preserve"> on </w:t>
      </w:r>
      <w:r w:rsidR="009A7646" w:rsidRPr="00E205A1">
        <w:rPr>
          <w:b/>
          <w:bCs/>
          <w:lang w:val="en-GB"/>
        </w:rPr>
        <w:t xml:space="preserve">monitored </w:t>
      </w:r>
      <w:r w:rsidRPr="00E205A1">
        <w:rPr>
          <w:b/>
          <w:bCs/>
          <w:lang w:val="en-GB"/>
        </w:rPr>
        <w:t>eGOV benchmark services</w:t>
      </w:r>
      <w:r w:rsidRPr="00E205A1">
        <w:rPr>
          <w:lang w:val="en-GB"/>
        </w:rPr>
        <w:t xml:space="preserve"> (</w:t>
      </w:r>
      <w:r w:rsidR="00AC74DB" w:rsidRPr="00E205A1">
        <w:rPr>
          <w:lang w:val="en-GB"/>
        </w:rPr>
        <w:t xml:space="preserve">8 categories: start a business, </w:t>
      </w:r>
      <w:r w:rsidR="00B733CD" w:rsidRPr="00E205A1">
        <w:rPr>
          <w:lang w:val="en-GB"/>
        </w:rPr>
        <w:t xml:space="preserve">study, </w:t>
      </w:r>
      <w:r w:rsidR="00717A29" w:rsidRPr="00E205A1">
        <w:rPr>
          <w:lang w:val="en-GB"/>
        </w:rPr>
        <w:t xml:space="preserve">lost and finding a job, </w:t>
      </w:r>
      <w:r w:rsidR="00AD4595" w:rsidRPr="00E205A1">
        <w:rPr>
          <w:lang w:val="en-GB"/>
        </w:rPr>
        <w:t>family life,</w:t>
      </w:r>
      <w:r w:rsidR="00A64971" w:rsidRPr="00E205A1">
        <w:rPr>
          <w:lang w:val="en-GB"/>
        </w:rPr>
        <w:t xml:space="preserve"> regular business operations, </w:t>
      </w:r>
      <w:r w:rsidR="009A6F17" w:rsidRPr="00E205A1">
        <w:rPr>
          <w:lang w:val="en-GB"/>
        </w:rPr>
        <w:t>claims</w:t>
      </w:r>
      <w:r w:rsidR="00AE69E6" w:rsidRPr="00E205A1">
        <w:rPr>
          <w:lang w:val="en-GB"/>
        </w:rPr>
        <w:t xml:space="preserve"> and </w:t>
      </w:r>
      <w:r w:rsidR="00E41249" w:rsidRPr="00E205A1">
        <w:rPr>
          <w:lang w:val="en-GB"/>
        </w:rPr>
        <w:t>administrative proce</w:t>
      </w:r>
      <w:r w:rsidR="009A6F17" w:rsidRPr="00E205A1">
        <w:rPr>
          <w:lang w:val="en-GB"/>
        </w:rPr>
        <w:t xml:space="preserve">edings, </w:t>
      </w:r>
      <w:r w:rsidR="00C85C7C" w:rsidRPr="00E205A1">
        <w:rPr>
          <w:lang w:val="en-GB"/>
        </w:rPr>
        <w:t xml:space="preserve">ownership and use of a car, </w:t>
      </w:r>
      <w:r w:rsidR="00356D20" w:rsidRPr="00E205A1">
        <w:rPr>
          <w:lang w:val="en-GB"/>
        </w:rPr>
        <w:t>rem</w:t>
      </w:r>
      <w:r w:rsidR="003B1682" w:rsidRPr="00E205A1">
        <w:rPr>
          <w:lang w:val="en-GB"/>
        </w:rPr>
        <w:t>ovals</w:t>
      </w:r>
      <w:r w:rsidRPr="00E205A1">
        <w:rPr>
          <w:lang w:val="en-GB"/>
        </w:rPr>
        <w:t>) a</w:t>
      </w:r>
      <w:r w:rsidRPr="00E205A1">
        <w:rPr>
          <w:b/>
          <w:bCs/>
          <w:lang w:val="en-GB"/>
        </w:rPr>
        <w:t>nd single digital gateway services</w:t>
      </w:r>
      <w:r w:rsidRPr="00E205A1">
        <w:rPr>
          <w:lang w:val="en-GB"/>
        </w:rPr>
        <w:t xml:space="preserve"> (23</w:t>
      </w:r>
      <w:r w:rsidR="0053159F" w:rsidRPr="00E205A1">
        <w:rPr>
          <w:lang w:val="en-GB"/>
        </w:rPr>
        <w:t xml:space="preserve"> services</w:t>
      </w:r>
      <w:r w:rsidRPr="00E205A1">
        <w:rPr>
          <w:lang w:val="en-GB"/>
        </w:rPr>
        <w:t xml:space="preserve">). </w:t>
      </w:r>
    </w:p>
    <w:p w14:paraId="764B5873" w14:textId="77777777" w:rsidR="00482E2F" w:rsidRPr="00E205A1" w:rsidRDefault="0065627C" w:rsidP="00BD2BA5">
      <w:pPr>
        <w:pStyle w:val="ListParagraph"/>
        <w:numPr>
          <w:ilvl w:val="0"/>
          <w:numId w:val="7"/>
        </w:numPr>
        <w:jc w:val="both"/>
        <w:rPr>
          <w:lang w:val="en-GB"/>
        </w:rPr>
      </w:pPr>
      <w:r w:rsidRPr="00E205A1">
        <w:rPr>
          <w:lang w:val="en-GB"/>
        </w:rPr>
        <w:t>Pro</w:t>
      </w:r>
      <w:r w:rsidR="00714734" w:rsidRPr="00E205A1">
        <w:rPr>
          <w:lang w:val="en-GB"/>
        </w:rPr>
        <w:t>ject assessment require</w:t>
      </w:r>
      <w:r w:rsidR="006C2E0C" w:rsidRPr="00E205A1">
        <w:rPr>
          <w:lang w:val="en-GB"/>
        </w:rPr>
        <w:t>s</w:t>
      </w:r>
      <w:r w:rsidR="00714734" w:rsidRPr="00E205A1">
        <w:rPr>
          <w:lang w:val="en-GB"/>
        </w:rPr>
        <w:t xml:space="preserve"> </w:t>
      </w:r>
      <w:r w:rsidR="006C2E0C" w:rsidRPr="00E205A1">
        <w:rPr>
          <w:lang w:val="en-GB"/>
        </w:rPr>
        <w:t>presenting a</w:t>
      </w:r>
      <w:r w:rsidR="00714734" w:rsidRPr="00E205A1">
        <w:rPr>
          <w:lang w:val="en-GB"/>
        </w:rPr>
        <w:t xml:space="preserve"> </w:t>
      </w:r>
      <w:r w:rsidR="00714734" w:rsidRPr="00E205A1">
        <w:rPr>
          <w:b/>
          <w:bCs/>
          <w:lang w:val="en-GB"/>
        </w:rPr>
        <w:t>positive business case</w:t>
      </w:r>
      <w:r w:rsidR="00714734" w:rsidRPr="00E205A1">
        <w:rPr>
          <w:lang w:val="en-GB"/>
        </w:rPr>
        <w:t xml:space="preserve"> </w:t>
      </w:r>
      <w:r w:rsidR="00666800" w:rsidRPr="00E205A1">
        <w:rPr>
          <w:lang w:val="en-GB"/>
        </w:rPr>
        <w:t xml:space="preserve">to evaluate </w:t>
      </w:r>
      <w:r w:rsidR="006C2E0C" w:rsidRPr="00E205A1">
        <w:rPr>
          <w:lang w:val="en-GB"/>
        </w:rPr>
        <w:t xml:space="preserve">the </w:t>
      </w:r>
      <w:r w:rsidR="00666800" w:rsidRPr="00E205A1">
        <w:rPr>
          <w:lang w:val="en-GB"/>
        </w:rPr>
        <w:t xml:space="preserve">return of investment and value for money based on </w:t>
      </w:r>
      <w:r w:rsidR="006A6F97" w:rsidRPr="00E205A1">
        <w:rPr>
          <w:lang w:val="en-GB"/>
        </w:rPr>
        <w:t xml:space="preserve">KPI: time savings of citizen </w:t>
      </w:r>
      <w:r w:rsidR="00D04DBB" w:rsidRPr="00E205A1">
        <w:rPr>
          <w:lang w:val="en-GB"/>
        </w:rPr>
        <w:t xml:space="preserve">and time savings of </w:t>
      </w:r>
      <w:r w:rsidR="006A6F97" w:rsidRPr="00E205A1">
        <w:rPr>
          <w:lang w:val="en-GB"/>
        </w:rPr>
        <w:t xml:space="preserve">business </w:t>
      </w:r>
      <w:r w:rsidR="00D04DBB" w:rsidRPr="00E205A1">
        <w:rPr>
          <w:lang w:val="en-GB"/>
        </w:rPr>
        <w:t>or</w:t>
      </w:r>
      <w:r w:rsidR="006A6F97" w:rsidRPr="00E205A1">
        <w:rPr>
          <w:lang w:val="en-GB"/>
        </w:rPr>
        <w:t xml:space="preserve"> digital take-up.</w:t>
      </w:r>
      <w:r w:rsidR="003F3F4D" w:rsidRPr="00E205A1">
        <w:rPr>
          <w:lang w:val="en-GB"/>
        </w:rPr>
        <w:t xml:space="preserve"> </w:t>
      </w:r>
      <w:r w:rsidR="006C2E0C" w:rsidRPr="00E205A1">
        <w:rPr>
          <w:lang w:val="en-GB"/>
        </w:rPr>
        <w:t>The n</w:t>
      </w:r>
      <w:r w:rsidR="003F3F4D" w:rsidRPr="00E205A1">
        <w:rPr>
          <w:lang w:val="en-GB"/>
        </w:rPr>
        <w:t xml:space="preserve">ew programming period should not copy coordination mechanism between OPEPA and OPII and bring new form of </w:t>
      </w:r>
      <w:r w:rsidR="005F7D33" w:rsidRPr="00E205A1">
        <w:rPr>
          <w:lang w:val="en-GB"/>
        </w:rPr>
        <w:t>building</w:t>
      </w:r>
      <w:r w:rsidR="006C2E0C" w:rsidRPr="00E205A1">
        <w:rPr>
          <w:lang w:val="en-GB"/>
        </w:rPr>
        <w:t xml:space="preserve"> capacity to ensure success of</w:t>
      </w:r>
      <w:r w:rsidR="0010768F" w:rsidRPr="00E205A1">
        <w:rPr>
          <w:lang w:val="en-GB"/>
        </w:rPr>
        <w:t xml:space="preserve"> IT project</w:t>
      </w:r>
      <w:r w:rsidR="006C2E0C" w:rsidRPr="00E205A1">
        <w:rPr>
          <w:lang w:val="en-GB"/>
        </w:rPr>
        <w:t>s</w:t>
      </w:r>
      <w:r w:rsidR="0010768F" w:rsidRPr="00E205A1">
        <w:rPr>
          <w:lang w:val="en-GB"/>
        </w:rPr>
        <w:t xml:space="preserve">. </w:t>
      </w:r>
      <w:r w:rsidR="005F7D33" w:rsidRPr="00E205A1">
        <w:rPr>
          <w:lang w:val="en-GB"/>
        </w:rPr>
        <w:t xml:space="preserve"> </w:t>
      </w:r>
      <w:r w:rsidR="0010768F" w:rsidRPr="00E205A1">
        <w:rPr>
          <w:lang w:val="en-GB"/>
        </w:rPr>
        <w:t>B</w:t>
      </w:r>
      <w:r w:rsidR="005F7D33" w:rsidRPr="00E205A1">
        <w:rPr>
          <w:lang w:val="en-GB"/>
        </w:rPr>
        <w:t xml:space="preserve">usiness analyst units and product management units </w:t>
      </w:r>
      <w:r w:rsidR="0010768F" w:rsidRPr="00E205A1">
        <w:rPr>
          <w:lang w:val="en-GB"/>
        </w:rPr>
        <w:t>can be financed by</w:t>
      </w:r>
      <w:r w:rsidR="005F7D33" w:rsidRPr="00E205A1">
        <w:rPr>
          <w:lang w:val="en-GB"/>
        </w:rPr>
        <w:t xml:space="preserve"> ERDF</w:t>
      </w:r>
      <w:r w:rsidR="00B22784" w:rsidRPr="00E205A1">
        <w:rPr>
          <w:lang w:val="en-GB"/>
        </w:rPr>
        <w:t xml:space="preserve"> and both roles are </w:t>
      </w:r>
      <w:r w:rsidR="004770EC" w:rsidRPr="00E205A1">
        <w:rPr>
          <w:lang w:val="en-GB"/>
        </w:rPr>
        <w:t>part of the new Strategy of human resources in IT elaborated in 2019</w:t>
      </w:r>
      <w:r w:rsidR="005F7D33" w:rsidRPr="00E205A1">
        <w:rPr>
          <w:lang w:val="en-GB"/>
        </w:rPr>
        <w:t xml:space="preserve">. More details about </w:t>
      </w:r>
      <w:r w:rsidR="006C2E0C" w:rsidRPr="00E205A1">
        <w:rPr>
          <w:lang w:val="en-GB"/>
        </w:rPr>
        <w:t>the above</w:t>
      </w:r>
      <w:r w:rsidR="005F7D33" w:rsidRPr="00E205A1">
        <w:rPr>
          <w:lang w:val="en-GB"/>
        </w:rPr>
        <w:t>mention</w:t>
      </w:r>
      <w:r w:rsidR="006C2E0C" w:rsidRPr="00E205A1">
        <w:rPr>
          <w:lang w:val="en-GB"/>
        </w:rPr>
        <w:t>ed</w:t>
      </w:r>
      <w:r w:rsidR="005F7D33" w:rsidRPr="00E205A1">
        <w:rPr>
          <w:lang w:val="en-GB"/>
        </w:rPr>
        <w:t xml:space="preserve"> units are in section two. </w:t>
      </w:r>
    </w:p>
    <w:p w14:paraId="438D24EB" w14:textId="77777777" w:rsidR="00A26BAB" w:rsidRPr="00E205A1" w:rsidRDefault="00A26BAB">
      <w:pPr>
        <w:rPr>
          <w:lang w:val="en-GB"/>
        </w:rPr>
      </w:pPr>
    </w:p>
    <w:p w14:paraId="18CE3001" w14:textId="77777777" w:rsidR="00CC3F03" w:rsidRPr="00E205A1" w:rsidRDefault="006A133B" w:rsidP="00C758EE">
      <w:pPr>
        <w:pStyle w:val="Heading2"/>
        <w:rPr>
          <w:lang w:val="en-GB"/>
        </w:rPr>
      </w:pPr>
      <w:r w:rsidRPr="00E205A1">
        <w:rPr>
          <w:lang w:val="en-GB"/>
        </w:rPr>
        <w:lastRenderedPageBreak/>
        <w:t>NEW TOOLS</w:t>
      </w:r>
    </w:p>
    <w:p w14:paraId="391447AB" w14:textId="77777777" w:rsidR="00637D58" w:rsidRPr="00E205A1" w:rsidRDefault="00EA59A6" w:rsidP="00957A4F">
      <w:pPr>
        <w:jc w:val="both"/>
        <w:rPr>
          <w:lang w:val="en-GB"/>
        </w:rPr>
      </w:pPr>
      <w:r w:rsidRPr="00E205A1">
        <w:rPr>
          <w:b/>
          <w:bCs/>
          <w:noProof/>
          <w:lang w:val="en-GB" w:eastAsia="sk-SK"/>
        </w:rPr>
        <w:drawing>
          <wp:inline distT="0" distB="0" distL="0" distR="0" wp14:anchorId="5F112E32" wp14:editId="31260D41">
            <wp:extent cx="431642" cy="431642"/>
            <wp:effectExtent l="0" t="0" r="0" b="0"/>
            <wp:docPr id="12" name="Graphic 12" descr="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ediafile_u6mizd.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442373" cy="442373"/>
                    </a:xfrm>
                    <a:prstGeom prst="rect">
                      <a:avLst/>
                    </a:prstGeom>
                  </pic:spPr>
                </pic:pic>
              </a:graphicData>
            </a:graphic>
          </wp:inline>
        </w:drawing>
      </w:r>
      <w:r w:rsidR="00637D58" w:rsidRPr="00E205A1">
        <w:rPr>
          <w:b/>
          <w:bCs/>
          <w:lang w:val="en-GB"/>
        </w:rPr>
        <w:t>Inhouse development</w:t>
      </w:r>
      <w:r w:rsidR="00B22784" w:rsidRPr="00E205A1">
        <w:rPr>
          <w:lang w:val="en-GB"/>
        </w:rPr>
        <w:t xml:space="preserve"> </w:t>
      </w:r>
      <w:r w:rsidR="008A319D" w:rsidRPr="00E205A1">
        <w:rPr>
          <w:lang w:val="en-GB"/>
        </w:rPr>
        <w:t>is</w:t>
      </w:r>
      <w:r w:rsidR="00361F51" w:rsidRPr="00E205A1">
        <w:rPr>
          <w:lang w:val="en-GB"/>
        </w:rPr>
        <w:t xml:space="preserve"> part of</w:t>
      </w:r>
      <w:r w:rsidR="008A319D" w:rsidRPr="00E205A1">
        <w:rPr>
          <w:lang w:val="en-GB"/>
        </w:rPr>
        <w:t xml:space="preserve"> a broader </w:t>
      </w:r>
      <w:r w:rsidR="00361F51" w:rsidRPr="00E205A1">
        <w:rPr>
          <w:lang w:val="en-GB"/>
        </w:rPr>
        <w:t xml:space="preserve">concept </w:t>
      </w:r>
      <w:r w:rsidR="001C5453" w:rsidRPr="00E205A1">
        <w:rPr>
          <w:lang w:val="en-GB"/>
        </w:rPr>
        <w:t xml:space="preserve">of insourcing </w:t>
      </w:r>
      <w:r w:rsidR="009D416F" w:rsidRPr="00E205A1">
        <w:rPr>
          <w:lang w:val="en-GB"/>
        </w:rPr>
        <w:t>services documented in S</w:t>
      </w:r>
      <w:r w:rsidR="00B93F16" w:rsidRPr="00E205A1">
        <w:rPr>
          <w:lang w:val="en-GB"/>
        </w:rPr>
        <w:t>trategy</w:t>
      </w:r>
      <w:r w:rsidR="009D416F" w:rsidRPr="00E205A1">
        <w:rPr>
          <w:lang w:val="en-GB"/>
        </w:rPr>
        <w:t xml:space="preserve"> of human resources in IT. </w:t>
      </w:r>
      <w:r w:rsidR="00E24146" w:rsidRPr="00E205A1">
        <w:rPr>
          <w:lang w:val="en-GB"/>
        </w:rPr>
        <w:t xml:space="preserve">Inhouse development </w:t>
      </w:r>
      <w:r w:rsidR="008F33CE" w:rsidRPr="00E205A1">
        <w:rPr>
          <w:lang w:val="en-GB"/>
        </w:rPr>
        <w:t>is based on</w:t>
      </w:r>
      <w:r w:rsidR="00E24146" w:rsidRPr="00E205A1">
        <w:rPr>
          <w:lang w:val="en-GB"/>
        </w:rPr>
        <w:t xml:space="preserve"> </w:t>
      </w:r>
      <w:r w:rsidR="00823CDE" w:rsidRPr="00E205A1">
        <w:rPr>
          <w:lang w:val="en-GB"/>
        </w:rPr>
        <w:t>dedicated projects for key government organization</w:t>
      </w:r>
      <w:r w:rsidR="00234F2C" w:rsidRPr="00E205A1">
        <w:rPr>
          <w:lang w:val="en-GB"/>
        </w:rPr>
        <w:t>s</w:t>
      </w:r>
      <w:r w:rsidR="00823CDE" w:rsidRPr="00E205A1">
        <w:rPr>
          <w:lang w:val="en-GB"/>
        </w:rPr>
        <w:t xml:space="preserve"> </w:t>
      </w:r>
      <w:r w:rsidR="00563AE3" w:rsidRPr="00E205A1">
        <w:rPr>
          <w:lang w:val="en-GB"/>
        </w:rPr>
        <w:t xml:space="preserve">to </w:t>
      </w:r>
      <w:r w:rsidR="00A811F6" w:rsidRPr="00E205A1">
        <w:rPr>
          <w:lang w:val="en-GB"/>
        </w:rPr>
        <w:t>create</w:t>
      </w:r>
      <w:r w:rsidR="00563AE3" w:rsidRPr="00E205A1">
        <w:rPr>
          <w:lang w:val="en-GB"/>
        </w:rPr>
        <w:t xml:space="preserve"> </w:t>
      </w:r>
      <w:r w:rsidR="00726445" w:rsidRPr="00E205A1">
        <w:rPr>
          <w:lang w:val="en-GB"/>
        </w:rPr>
        <w:t>agile internal</w:t>
      </w:r>
      <w:r w:rsidR="00A811F6" w:rsidRPr="00E205A1">
        <w:rPr>
          <w:lang w:val="en-GB"/>
        </w:rPr>
        <w:t xml:space="preserve"> units. One unit should have</w:t>
      </w:r>
      <w:r w:rsidR="00563AE3" w:rsidRPr="00E205A1">
        <w:rPr>
          <w:lang w:val="en-GB"/>
        </w:rPr>
        <w:t xml:space="preserve"> </w:t>
      </w:r>
      <w:r w:rsidR="00E707CB" w:rsidRPr="00E205A1">
        <w:rPr>
          <w:lang w:val="en-GB"/>
        </w:rPr>
        <w:t>8</w:t>
      </w:r>
      <w:r w:rsidR="00563AE3" w:rsidRPr="00E205A1">
        <w:rPr>
          <w:lang w:val="en-GB"/>
        </w:rPr>
        <w:t xml:space="preserve"> to </w:t>
      </w:r>
      <w:r w:rsidR="00E707CB" w:rsidRPr="00E205A1">
        <w:rPr>
          <w:lang w:val="en-GB"/>
        </w:rPr>
        <w:t>20</w:t>
      </w:r>
      <w:r w:rsidR="00A811F6" w:rsidRPr="00E205A1">
        <w:rPr>
          <w:lang w:val="en-GB"/>
        </w:rPr>
        <w:t xml:space="preserve"> </w:t>
      </w:r>
      <w:r w:rsidR="00957A4F" w:rsidRPr="00E205A1">
        <w:rPr>
          <w:lang w:val="en-GB"/>
        </w:rPr>
        <w:t>people covering roles such as</w:t>
      </w:r>
      <w:r w:rsidR="00563AE3" w:rsidRPr="00E205A1">
        <w:rPr>
          <w:lang w:val="en-GB"/>
        </w:rPr>
        <w:t xml:space="preserve"> </w:t>
      </w:r>
      <w:r w:rsidR="00642608" w:rsidRPr="00E205A1">
        <w:rPr>
          <w:lang w:val="en-GB"/>
        </w:rPr>
        <w:t xml:space="preserve">architects, </w:t>
      </w:r>
      <w:r w:rsidR="00563AE3" w:rsidRPr="00E205A1">
        <w:rPr>
          <w:lang w:val="en-GB"/>
        </w:rPr>
        <w:t>coders</w:t>
      </w:r>
      <w:r w:rsidR="00642608" w:rsidRPr="00E205A1">
        <w:rPr>
          <w:lang w:val="en-GB"/>
        </w:rPr>
        <w:t xml:space="preserve">, testers and </w:t>
      </w:r>
      <w:r w:rsidR="00C36B01" w:rsidRPr="00E205A1">
        <w:rPr>
          <w:lang w:val="en-GB"/>
        </w:rPr>
        <w:t xml:space="preserve">IT experts </w:t>
      </w:r>
      <w:r w:rsidR="00B353D3" w:rsidRPr="00E205A1">
        <w:rPr>
          <w:lang w:val="en-GB"/>
        </w:rPr>
        <w:t xml:space="preserve">capable to code and develop </w:t>
      </w:r>
      <w:r w:rsidR="0056145C" w:rsidRPr="00E205A1">
        <w:rPr>
          <w:lang w:val="en-GB"/>
        </w:rPr>
        <w:t>changes in GUI</w:t>
      </w:r>
      <w:r w:rsidR="00AB52F6" w:rsidRPr="00E205A1">
        <w:rPr>
          <w:lang w:val="en-GB"/>
        </w:rPr>
        <w:t xml:space="preserve"> (websites, forms)</w:t>
      </w:r>
      <w:r w:rsidR="0056145C" w:rsidRPr="00E205A1">
        <w:rPr>
          <w:lang w:val="en-GB"/>
        </w:rPr>
        <w:t xml:space="preserve">, </w:t>
      </w:r>
      <w:r w:rsidR="00B353D3" w:rsidRPr="00E205A1">
        <w:rPr>
          <w:lang w:val="en-GB"/>
        </w:rPr>
        <w:t>small components such as integrations</w:t>
      </w:r>
      <w:r w:rsidR="00AB52F6" w:rsidRPr="00E205A1">
        <w:rPr>
          <w:lang w:val="en-GB"/>
        </w:rPr>
        <w:t xml:space="preserve"> and</w:t>
      </w:r>
      <w:r w:rsidR="00B353D3" w:rsidRPr="00E205A1">
        <w:rPr>
          <w:lang w:val="en-GB"/>
        </w:rPr>
        <w:t xml:space="preserve"> </w:t>
      </w:r>
      <w:r w:rsidR="0056145C" w:rsidRPr="00E205A1">
        <w:rPr>
          <w:lang w:val="en-GB"/>
        </w:rPr>
        <w:t>microservices</w:t>
      </w:r>
      <w:r w:rsidR="00AB52F6" w:rsidRPr="00E205A1">
        <w:rPr>
          <w:lang w:val="en-GB"/>
        </w:rPr>
        <w:t>,</w:t>
      </w:r>
      <w:r w:rsidR="0056145C" w:rsidRPr="00E205A1">
        <w:rPr>
          <w:lang w:val="en-GB"/>
        </w:rPr>
        <w:t xml:space="preserve"> </w:t>
      </w:r>
      <w:r w:rsidR="00B353D3" w:rsidRPr="00E205A1">
        <w:rPr>
          <w:lang w:val="en-GB"/>
        </w:rPr>
        <w:t>new</w:t>
      </w:r>
      <w:r w:rsidR="004B1314" w:rsidRPr="00E205A1">
        <w:rPr>
          <w:lang w:val="en-GB"/>
        </w:rPr>
        <w:t xml:space="preserve"> </w:t>
      </w:r>
      <w:r w:rsidR="00726445" w:rsidRPr="00E205A1">
        <w:rPr>
          <w:lang w:val="en-GB"/>
        </w:rPr>
        <w:t>small</w:t>
      </w:r>
      <w:r w:rsidR="00B353D3" w:rsidRPr="00E205A1">
        <w:rPr>
          <w:lang w:val="en-GB"/>
        </w:rPr>
        <w:t xml:space="preserve"> modules</w:t>
      </w:r>
      <w:r w:rsidR="004B1314" w:rsidRPr="00E205A1">
        <w:rPr>
          <w:lang w:val="en-GB"/>
        </w:rPr>
        <w:t xml:space="preserve">, new OPEN API and open data </w:t>
      </w:r>
      <w:r w:rsidR="0056145C" w:rsidRPr="00E205A1">
        <w:rPr>
          <w:lang w:val="en-GB"/>
        </w:rPr>
        <w:t>services</w:t>
      </w:r>
      <w:r w:rsidR="004B1314" w:rsidRPr="00E205A1">
        <w:rPr>
          <w:lang w:val="en-GB"/>
        </w:rPr>
        <w:t xml:space="preserve"> and also</w:t>
      </w:r>
      <w:r w:rsidR="0056145C" w:rsidRPr="00E205A1">
        <w:rPr>
          <w:lang w:val="en-GB"/>
        </w:rPr>
        <w:t xml:space="preserve"> cloud-based </w:t>
      </w:r>
      <w:r w:rsidR="006C1A7E" w:rsidRPr="00E205A1">
        <w:rPr>
          <w:lang w:val="en-GB"/>
        </w:rPr>
        <w:t xml:space="preserve">and </w:t>
      </w:r>
      <w:proofErr w:type="spellStart"/>
      <w:r w:rsidR="006C1A7E" w:rsidRPr="00E205A1">
        <w:rPr>
          <w:lang w:val="en-GB"/>
        </w:rPr>
        <w:t>opensource</w:t>
      </w:r>
      <w:proofErr w:type="spellEnd"/>
      <w:r w:rsidR="006C1A7E" w:rsidRPr="00E205A1">
        <w:rPr>
          <w:lang w:val="en-GB"/>
        </w:rPr>
        <w:t xml:space="preserve"> </w:t>
      </w:r>
      <w:proofErr w:type="spellStart"/>
      <w:r w:rsidR="004D7515" w:rsidRPr="00E205A1">
        <w:rPr>
          <w:lang w:val="en-GB"/>
        </w:rPr>
        <w:t>backoffice</w:t>
      </w:r>
      <w:proofErr w:type="spellEnd"/>
      <w:r w:rsidR="0056145C" w:rsidRPr="00E205A1">
        <w:rPr>
          <w:lang w:val="en-GB"/>
        </w:rPr>
        <w:t xml:space="preserve"> apps where </w:t>
      </w:r>
      <w:r w:rsidR="0026074A" w:rsidRPr="00E205A1">
        <w:rPr>
          <w:lang w:val="en-GB"/>
        </w:rPr>
        <w:t>less</w:t>
      </w:r>
      <w:r w:rsidR="00940C77" w:rsidRPr="00E205A1">
        <w:rPr>
          <w:lang w:val="en-GB"/>
        </w:rPr>
        <w:t xml:space="preserve"> </w:t>
      </w:r>
      <w:r w:rsidR="0056145C" w:rsidRPr="00E205A1">
        <w:rPr>
          <w:lang w:val="en-GB"/>
        </w:rPr>
        <w:t>coding</w:t>
      </w:r>
      <w:r w:rsidR="00940C77" w:rsidRPr="00E205A1">
        <w:rPr>
          <w:lang w:val="en-GB"/>
        </w:rPr>
        <w:t xml:space="preserve"> is required. </w:t>
      </w:r>
    </w:p>
    <w:p w14:paraId="5A0E3287" w14:textId="77777777" w:rsidR="001C5453" w:rsidRPr="00E205A1" w:rsidRDefault="001C5453">
      <w:pPr>
        <w:rPr>
          <w:lang w:val="en-GB"/>
        </w:rPr>
      </w:pPr>
    </w:p>
    <w:p w14:paraId="6DB542DA" w14:textId="77777777" w:rsidR="00637D58" w:rsidRPr="00E205A1" w:rsidRDefault="00EA59A6" w:rsidP="00955EB9">
      <w:pPr>
        <w:jc w:val="both"/>
        <w:rPr>
          <w:lang w:val="en-GB"/>
        </w:rPr>
      </w:pPr>
      <w:r w:rsidRPr="00E205A1">
        <w:rPr>
          <w:b/>
          <w:bCs/>
          <w:noProof/>
          <w:lang w:val="en-GB" w:eastAsia="sk-SK"/>
        </w:rPr>
        <w:drawing>
          <wp:inline distT="0" distB="0" distL="0" distR="0" wp14:anchorId="1BD74F55" wp14:editId="2E0B25C1">
            <wp:extent cx="471399" cy="471399"/>
            <wp:effectExtent l="0" t="0" r="0" b="0"/>
            <wp:docPr id="13" name="Graphic 13" descr="C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diafile_jHanBU.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487582" cy="487582"/>
                    </a:xfrm>
                    <a:prstGeom prst="rect">
                      <a:avLst/>
                    </a:prstGeom>
                  </pic:spPr>
                </pic:pic>
              </a:graphicData>
            </a:graphic>
          </wp:inline>
        </w:drawing>
      </w:r>
      <w:r w:rsidR="00192CF1" w:rsidRPr="00E205A1">
        <w:rPr>
          <w:b/>
          <w:bCs/>
          <w:lang w:val="en-GB"/>
        </w:rPr>
        <w:t xml:space="preserve">EU </w:t>
      </w:r>
      <w:r w:rsidR="003427DB" w:rsidRPr="00E205A1">
        <w:rPr>
          <w:b/>
          <w:bCs/>
          <w:lang w:val="en-GB"/>
        </w:rPr>
        <w:t>re</w:t>
      </w:r>
      <w:r w:rsidR="00192CF1" w:rsidRPr="00E205A1">
        <w:rPr>
          <w:b/>
          <w:bCs/>
          <w:lang w:val="en-GB"/>
        </w:rPr>
        <w:t>f</w:t>
      </w:r>
      <w:r w:rsidR="00DB3058" w:rsidRPr="00E205A1">
        <w:rPr>
          <w:b/>
          <w:bCs/>
          <w:lang w:val="en-GB"/>
        </w:rPr>
        <w:t>inancing</w:t>
      </w:r>
      <w:r w:rsidR="0026074A" w:rsidRPr="00E205A1">
        <w:rPr>
          <w:b/>
          <w:bCs/>
          <w:lang w:val="en-GB"/>
        </w:rPr>
        <w:t xml:space="preserve"> </w:t>
      </w:r>
      <w:r w:rsidR="0026074A" w:rsidRPr="00E205A1">
        <w:rPr>
          <w:lang w:val="en-GB"/>
        </w:rPr>
        <w:t>of</w:t>
      </w:r>
      <w:r w:rsidR="00DB3058" w:rsidRPr="00E205A1">
        <w:rPr>
          <w:lang w:val="en-GB"/>
        </w:rPr>
        <w:t xml:space="preserve"> </w:t>
      </w:r>
      <w:r w:rsidR="000F75B0" w:rsidRPr="00E205A1">
        <w:rPr>
          <w:lang w:val="en-GB"/>
        </w:rPr>
        <w:t>completed</w:t>
      </w:r>
      <w:r w:rsidR="00192CF1" w:rsidRPr="00E205A1">
        <w:rPr>
          <w:lang w:val="en-GB"/>
        </w:rPr>
        <w:t xml:space="preserve"> project</w:t>
      </w:r>
      <w:r w:rsidR="00695C83" w:rsidRPr="00E205A1">
        <w:rPr>
          <w:lang w:val="en-GB"/>
        </w:rPr>
        <w:t>s</w:t>
      </w:r>
      <w:r w:rsidR="00C14CC5" w:rsidRPr="00E205A1">
        <w:rPr>
          <w:lang w:val="en-GB"/>
        </w:rPr>
        <w:t xml:space="preserve"> </w:t>
      </w:r>
      <w:r w:rsidR="001C1EAB" w:rsidRPr="00E205A1">
        <w:rPr>
          <w:lang w:val="en-GB"/>
        </w:rPr>
        <w:t>supported</w:t>
      </w:r>
      <w:r w:rsidR="003427DB" w:rsidRPr="00E205A1">
        <w:rPr>
          <w:lang w:val="en-GB"/>
        </w:rPr>
        <w:t xml:space="preserve"> by state </w:t>
      </w:r>
      <w:r w:rsidR="0041773D" w:rsidRPr="00E205A1">
        <w:rPr>
          <w:lang w:val="en-GB"/>
        </w:rPr>
        <w:t>budget</w:t>
      </w:r>
      <w:r w:rsidR="0041773D" w:rsidRPr="00E205A1">
        <w:rPr>
          <w:b/>
          <w:bCs/>
          <w:lang w:val="en-GB"/>
        </w:rPr>
        <w:t xml:space="preserve"> </w:t>
      </w:r>
      <w:r w:rsidR="0041773D" w:rsidRPr="00E205A1">
        <w:rPr>
          <w:lang w:val="en-GB"/>
        </w:rPr>
        <w:t>is</w:t>
      </w:r>
      <w:r w:rsidR="00A577F8" w:rsidRPr="00E205A1">
        <w:rPr>
          <w:lang w:val="en-GB"/>
        </w:rPr>
        <w:t xml:space="preserve"> a </w:t>
      </w:r>
      <w:r w:rsidR="0084794B" w:rsidRPr="00E205A1">
        <w:rPr>
          <w:lang w:val="en-GB"/>
        </w:rPr>
        <w:t>new approach</w:t>
      </w:r>
      <w:r w:rsidR="003B6FBC" w:rsidRPr="00E205A1">
        <w:rPr>
          <w:lang w:val="en-GB"/>
        </w:rPr>
        <w:t xml:space="preserve"> that has two </w:t>
      </w:r>
      <w:r w:rsidR="008B6536" w:rsidRPr="00E205A1">
        <w:rPr>
          <w:lang w:val="en-GB"/>
        </w:rPr>
        <w:t>positive effect</w:t>
      </w:r>
      <w:r w:rsidR="00FF679C" w:rsidRPr="00E205A1">
        <w:rPr>
          <w:lang w:val="en-GB"/>
        </w:rPr>
        <w:t>s</w:t>
      </w:r>
      <w:r w:rsidR="008B6536" w:rsidRPr="00E205A1">
        <w:rPr>
          <w:lang w:val="en-GB"/>
        </w:rPr>
        <w:t>. First</w:t>
      </w:r>
      <w:r w:rsidR="00FF679C" w:rsidRPr="00E205A1">
        <w:rPr>
          <w:lang w:val="en-GB"/>
        </w:rPr>
        <w:t>ly</w:t>
      </w:r>
      <w:r w:rsidR="00920FF2" w:rsidRPr="00E205A1">
        <w:rPr>
          <w:lang w:val="en-GB"/>
        </w:rPr>
        <w:t>,</w:t>
      </w:r>
      <w:r w:rsidR="007549BA" w:rsidRPr="00E205A1">
        <w:rPr>
          <w:lang w:val="en-GB"/>
        </w:rPr>
        <w:t xml:space="preserve"> </w:t>
      </w:r>
      <w:r w:rsidR="00BE6EB5" w:rsidRPr="00E205A1">
        <w:rPr>
          <w:lang w:val="en-GB"/>
        </w:rPr>
        <w:t>re</w:t>
      </w:r>
      <w:r w:rsidR="00FF679C" w:rsidRPr="00E205A1">
        <w:rPr>
          <w:lang w:val="en-GB"/>
        </w:rPr>
        <w:t xml:space="preserve">financing </w:t>
      </w:r>
      <w:r w:rsidR="00713294" w:rsidRPr="00E205A1">
        <w:rPr>
          <w:lang w:val="en-GB"/>
        </w:rPr>
        <w:t xml:space="preserve">successfully </w:t>
      </w:r>
      <w:r w:rsidR="00163CD2" w:rsidRPr="00E205A1">
        <w:rPr>
          <w:lang w:val="en-GB"/>
        </w:rPr>
        <w:t>delivered</w:t>
      </w:r>
      <w:r w:rsidR="00FF679C" w:rsidRPr="00E205A1">
        <w:rPr>
          <w:lang w:val="en-GB"/>
        </w:rPr>
        <w:t xml:space="preserve"> project</w:t>
      </w:r>
      <w:r w:rsidR="00713294" w:rsidRPr="00E205A1">
        <w:rPr>
          <w:lang w:val="en-GB"/>
        </w:rPr>
        <w:t>s</w:t>
      </w:r>
      <w:r w:rsidR="00FF679C" w:rsidRPr="00E205A1">
        <w:rPr>
          <w:lang w:val="en-GB"/>
        </w:rPr>
        <w:t xml:space="preserve"> with visible result </w:t>
      </w:r>
      <w:r w:rsidR="002C55F2" w:rsidRPr="00E205A1">
        <w:rPr>
          <w:lang w:val="en-GB"/>
        </w:rPr>
        <w:t xml:space="preserve">is easy to assess based on outputs and results due to services </w:t>
      </w:r>
      <w:r w:rsidR="00C14CC5" w:rsidRPr="00E205A1">
        <w:rPr>
          <w:lang w:val="en-GB"/>
        </w:rPr>
        <w:t>launched</w:t>
      </w:r>
      <w:r w:rsidR="002C55F2" w:rsidRPr="00E205A1">
        <w:rPr>
          <w:lang w:val="en-GB"/>
        </w:rPr>
        <w:t xml:space="preserve"> on </w:t>
      </w:r>
      <w:r w:rsidR="00886962" w:rsidRPr="00E205A1">
        <w:rPr>
          <w:lang w:val="en-GB"/>
        </w:rPr>
        <w:t>deployment</w:t>
      </w:r>
      <w:r w:rsidR="002C55F2" w:rsidRPr="00E205A1">
        <w:rPr>
          <w:lang w:val="en-GB"/>
        </w:rPr>
        <w:t xml:space="preserve"> </w:t>
      </w:r>
      <w:r w:rsidR="00886962" w:rsidRPr="00E205A1">
        <w:rPr>
          <w:lang w:val="en-GB"/>
        </w:rPr>
        <w:t xml:space="preserve">environment. </w:t>
      </w:r>
      <w:r w:rsidR="000F7ECE" w:rsidRPr="00E205A1">
        <w:rPr>
          <w:lang w:val="en-GB"/>
        </w:rPr>
        <w:t>Therefore</w:t>
      </w:r>
      <w:r w:rsidR="004E6A26" w:rsidRPr="00E205A1">
        <w:rPr>
          <w:lang w:val="en-GB"/>
        </w:rPr>
        <w:t>,</w:t>
      </w:r>
      <w:r w:rsidR="000F7ECE" w:rsidRPr="00E205A1">
        <w:rPr>
          <w:lang w:val="en-GB"/>
        </w:rPr>
        <w:t xml:space="preserve"> the risk </w:t>
      </w:r>
      <w:r w:rsidR="00B95E1F" w:rsidRPr="00E205A1">
        <w:rPr>
          <w:lang w:val="en-GB"/>
        </w:rPr>
        <w:t xml:space="preserve">of </w:t>
      </w:r>
      <w:r w:rsidR="00195CC9" w:rsidRPr="00E205A1">
        <w:rPr>
          <w:lang w:val="en-GB"/>
        </w:rPr>
        <w:t xml:space="preserve">not </w:t>
      </w:r>
      <w:r w:rsidR="00B95E1F" w:rsidRPr="00E205A1">
        <w:rPr>
          <w:lang w:val="en-GB"/>
        </w:rPr>
        <w:t xml:space="preserve">reaching value for </w:t>
      </w:r>
      <w:r w:rsidR="004E6A26" w:rsidRPr="00E205A1">
        <w:rPr>
          <w:lang w:val="en-GB"/>
        </w:rPr>
        <w:t xml:space="preserve">EU </w:t>
      </w:r>
      <w:r w:rsidR="00B95E1F" w:rsidRPr="00E205A1">
        <w:rPr>
          <w:lang w:val="en-GB"/>
        </w:rPr>
        <w:t xml:space="preserve">money is </w:t>
      </w:r>
      <w:r w:rsidR="00195CC9" w:rsidRPr="00E205A1">
        <w:rPr>
          <w:lang w:val="en-GB"/>
        </w:rPr>
        <w:t xml:space="preserve">very </w:t>
      </w:r>
      <w:r w:rsidR="00B95E1F" w:rsidRPr="00E205A1">
        <w:rPr>
          <w:lang w:val="en-GB"/>
        </w:rPr>
        <w:t xml:space="preserve">low. </w:t>
      </w:r>
      <w:r w:rsidR="00713294" w:rsidRPr="00E205A1">
        <w:rPr>
          <w:lang w:val="en-GB"/>
        </w:rPr>
        <w:t>Secondly</w:t>
      </w:r>
      <w:r w:rsidR="009F77EC" w:rsidRPr="00E205A1">
        <w:rPr>
          <w:lang w:val="en-GB"/>
        </w:rPr>
        <w:t>,</w:t>
      </w:r>
      <w:r w:rsidR="000F7ECE" w:rsidRPr="00E205A1">
        <w:rPr>
          <w:lang w:val="en-GB"/>
        </w:rPr>
        <w:t xml:space="preserve"> </w:t>
      </w:r>
      <w:r w:rsidR="00234F2C" w:rsidRPr="00E205A1">
        <w:rPr>
          <w:lang w:val="en-GB"/>
        </w:rPr>
        <w:t xml:space="preserve">the </w:t>
      </w:r>
      <w:r w:rsidR="00013AFE" w:rsidRPr="00E205A1">
        <w:rPr>
          <w:lang w:val="en-GB"/>
        </w:rPr>
        <w:t xml:space="preserve">time between </w:t>
      </w:r>
      <w:r w:rsidR="00E068FA" w:rsidRPr="00E205A1">
        <w:rPr>
          <w:lang w:val="en-GB"/>
        </w:rPr>
        <w:t xml:space="preserve">project </w:t>
      </w:r>
      <w:r w:rsidR="00013AFE" w:rsidRPr="00E205A1">
        <w:rPr>
          <w:lang w:val="en-GB"/>
        </w:rPr>
        <w:t>propos</w:t>
      </w:r>
      <w:r w:rsidR="00E068FA" w:rsidRPr="00E205A1">
        <w:rPr>
          <w:lang w:val="en-GB"/>
        </w:rPr>
        <w:t xml:space="preserve">al </w:t>
      </w:r>
      <w:r w:rsidR="00234F2C" w:rsidRPr="00E205A1">
        <w:rPr>
          <w:lang w:val="en-GB"/>
        </w:rPr>
        <w:t xml:space="preserve">and </w:t>
      </w:r>
      <w:r w:rsidR="000977FA" w:rsidRPr="00E205A1">
        <w:rPr>
          <w:lang w:val="en-GB"/>
        </w:rPr>
        <w:t xml:space="preserve">financial </w:t>
      </w:r>
      <w:r w:rsidR="000F75B0" w:rsidRPr="00E205A1">
        <w:rPr>
          <w:lang w:val="en-GB"/>
        </w:rPr>
        <w:t>closing of the</w:t>
      </w:r>
      <w:r w:rsidR="00013AFE" w:rsidRPr="00E205A1">
        <w:rPr>
          <w:lang w:val="en-GB"/>
        </w:rPr>
        <w:t xml:space="preserve"> </w:t>
      </w:r>
      <w:r w:rsidR="000F75B0" w:rsidRPr="00E205A1">
        <w:rPr>
          <w:lang w:val="en-GB"/>
        </w:rPr>
        <w:t xml:space="preserve">completed </w:t>
      </w:r>
      <w:r w:rsidR="00013AFE" w:rsidRPr="00E205A1">
        <w:rPr>
          <w:lang w:val="en-GB"/>
        </w:rPr>
        <w:t xml:space="preserve">project </w:t>
      </w:r>
      <w:r w:rsidR="00E068FA" w:rsidRPr="00E205A1">
        <w:rPr>
          <w:lang w:val="en-GB"/>
        </w:rPr>
        <w:t xml:space="preserve">can be </w:t>
      </w:r>
      <w:r w:rsidR="00E430B3" w:rsidRPr="00E205A1">
        <w:rPr>
          <w:lang w:val="en-GB"/>
        </w:rPr>
        <w:t xml:space="preserve">around 6 months. </w:t>
      </w:r>
      <w:r w:rsidR="00412658" w:rsidRPr="00E205A1">
        <w:rPr>
          <w:lang w:val="en-GB"/>
        </w:rPr>
        <w:t xml:space="preserve">This </w:t>
      </w:r>
      <w:r w:rsidR="00897DDE" w:rsidRPr="00E205A1">
        <w:rPr>
          <w:lang w:val="en-GB"/>
        </w:rPr>
        <w:t>stream</w:t>
      </w:r>
      <w:r w:rsidR="00412658" w:rsidRPr="00E205A1">
        <w:rPr>
          <w:lang w:val="en-GB"/>
        </w:rPr>
        <w:t xml:space="preserve"> </w:t>
      </w:r>
      <w:r w:rsidR="00EA7ADF" w:rsidRPr="00E205A1">
        <w:rPr>
          <w:lang w:val="en-GB"/>
        </w:rPr>
        <w:t>is</w:t>
      </w:r>
      <w:r w:rsidR="00412658" w:rsidRPr="00E205A1">
        <w:rPr>
          <w:lang w:val="en-GB"/>
        </w:rPr>
        <w:t xml:space="preserve"> not eligible during </w:t>
      </w:r>
      <w:r w:rsidR="000977FA" w:rsidRPr="00E205A1">
        <w:rPr>
          <w:lang w:val="en-GB"/>
        </w:rPr>
        <w:t xml:space="preserve">the </w:t>
      </w:r>
      <w:r w:rsidR="00412658" w:rsidRPr="00E205A1">
        <w:rPr>
          <w:lang w:val="en-GB"/>
        </w:rPr>
        <w:t xml:space="preserve">current programming period, </w:t>
      </w:r>
      <w:r w:rsidR="00CC1A8B" w:rsidRPr="00E205A1">
        <w:rPr>
          <w:lang w:val="en-GB"/>
        </w:rPr>
        <w:t>due to</w:t>
      </w:r>
      <w:r w:rsidR="00412658" w:rsidRPr="00E205A1">
        <w:rPr>
          <w:lang w:val="en-GB"/>
        </w:rPr>
        <w:t xml:space="preserve"> </w:t>
      </w:r>
      <w:r w:rsidR="00CC1A8B" w:rsidRPr="00E205A1">
        <w:rPr>
          <w:lang w:val="en-GB"/>
        </w:rPr>
        <w:t xml:space="preserve">one requirement. </w:t>
      </w:r>
      <w:r w:rsidR="001B2D98" w:rsidRPr="00E205A1">
        <w:rPr>
          <w:lang w:val="en-GB"/>
        </w:rPr>
        <w:t>Project</w:t>
      </w:r>
      <w:r w:rsidR="000977FA" w:rsidRPr="00E205A1">
        <w:rPr>
          <w:lang w:val="en-GB"/>
        </w:rPr>
        <w:t>s</w:t>
      </w:r>
      <w:r w:rsidR="001B2D98" w:rsidRPr="00E205A1">
        <w:rPr>
          <w:lang w:val="en-GB"/>
        </w:rPr>
        <w:t xml:space="preserve"> can</w:t>
      </w:r>
      <w:r w:rsidR="00222F55" w:rsidRPr="00E205A1">
        <w:rPr>
          <w:lang w:val="en-GB"/>
        </w:rPr>
        <w:t xml:space="preserve"> </w:t>
      </w:r>
      <w:r w:rsidR="001B2D98" w:rsidRPr="00E205A1">
        <w:rPr>
          <w:lang w:val="en-GB"/>
        </w:rPr>
        <w:t xml:space="preserve">be refinanced only if it is not </w:t>
      </w:r>
      <w:proofErr w:type="spellStart"/>
      <w:r w:rsidR="000F75B0" w:rsidRPr="00E205A1">
        <w:rPr>
          <w:lang w:val="en-GB"/>
        </w:rPr>
        <w:t>complted</w:t>
      </w:r>
      <w:proofErr w:type="spellEnd"/>
      <w:r w:rsidR="001B2D98" w:rsidRPr="00E205A1">
        <w:rPr>
          <w:lang w:val="en-GB"/>
        </w:rPr>
        <w:t xml:space="preserve"> </w:t>
      </w:r>
      <w:r w:rsidR="00222F55" w:rsidRPr="00E205A1">
        <w:rPr>
          <w:lang w:val="en-GB"/>
        </w:rPr>
        <w:t xml:space="preserve">due to date of project proposal. </w:t>
      </w:r>
      <w:r w:rsidR="009F2CD9" w:rsidRPr="00E205A1">
        <w:rPr>
          <w:lang w:val="en-GB"/>
        </w:rPr>
        <w:t>The solution is to allow g</w:t>
      </w:r>
      <w:r w:rsidR="00804253" w:rsidRPr="00E205A1">
        <w:rPr>
          <w:lang w:val="en-GB"/>
        </w:rPr>
        <w:t xml:space="preserve">overnment institutions propose </w:t>
      </w:r>
      <w:r w:rsidR="00F46991" w:rsidRPr="00E205A1">
        <w:rPr>
          <w:lang w:val="en-GB"/>
        </w:rPr>
        <w:t xml:space="preserve">small scale </w:t>
      </w:r>
      <w:r w:rsidR="000F75B0" w:rsidRPr="00E205A1">
        <w:rPr>
          <w:lang w:val="en-GB"/>
        </w:rPr>
        <w:t>completed</w:t>
      </w:r>
      <w:r w:rsidR="00804253" w:rsidRPr="00E205A1">
        <w:rPr>
          <w:lang w:val="en-GB"/>
        </w:rPr>
        <w:t xml:space="preserve"> projects</w:t>
      </w:r>
      <w:r w:rsidR="00411ADE" w:rsidRPr="00E205A1">
        <w:rPr>
          <w:lang w:val="en-GB"/>
        </w:rPr>
        <w:t>.</w:t>
      </w:r>
      <w:r w:rsidR="00804253" w:rsidRPr="00E205A1">
        <w:rPr>
          <w:lang w:val="en-GB"/>
        </w:rPr>
        <w:t xml:space="preserve"> </w:t>
      </w:r>
      <w:r w:rsidR="00411ADE" w:rsidRPr="00E205A1">
        <w:rPr>
          <w:lang w:val="en-GB"/>
        </w:rPr>
        <w:t xml:space="preserve">This </w:t>
      </w:r>
      <w:r w:rsidR="000F75B0" w:rsidRPr="00E205A1">
        <w:rPr>
          <w:lang w:val="en-GB"/>
        </w:rPr>
        <w:t>tool</w:t>
      </w:r>
      <w:r w:rsidR="00F46991" w:rsidRPr="00E205A1">
        <w:rPr>
          <w:lang w:val="en-GB"/>
        </w:rPr>
        <w:t xml:space="preserve"> can deliver early </w:t>
      </w:r>
      <w:r w:rsidR="000F75B0" w:rsidRPr="00E205A1">
        <w:rPr>
          <w:lang w:val="en-GB"/>
        </w:rPr>
        <w:t>financial performance from OP perspective</w:t>
      </w:r>
      <w:r w:rsidR="00D53690" w:rsidRPr="00E205A1">
        <w:rPr>
          <w:lang w:val="en-GB"/>
        </w:rPr>
        <w:t xml:space="preserve">, without </w:t>
      </w:r>
      <w:r w:rsidR="00EF0F3F" w:rsidRPr="00E205A1">
        <w:rPr>
          <w:lang w:val="en-GB"/>
        </w:rPr>
        <w:t xml:space="preserve">delay and low risk from delivery </w:t>
      </w:r>
      <w:r w:rsidR="00AC0CAA" w:rsidRPr="00E205A1">
        <w:rPr>
          <w:lang w:val="en-GB"/>
        </w:rPr>
        <w:t>standpoint</w:t>
      </w:r>
      <w:r w:rsidR="00EF0F3F" w:rsidRPr="00E205A1">
        <w:rPr>
          <w:lang w:val="en-GB"/>
        </w:rPr>
        <w:t xml:space="preserve">. </w:t>
      </w:r>
    </w:p>
    <w:p w14:paraId="5DD28EEB" w14:textId="77777777" w:rsidR="0060125C" w:rsidRPr="00AD0E96" w:rsidRDefault="0060125C" w:rsidP="0060125C">
      <w:pPr>
        <w:rPr>
          <w:lang w:val="en-GB"/>
        </w:rPr>
      </w:pPr>
    </w:p>
    <w:sectPr w:rsidR="0060125C" w:rsidRPr="00AD0E96" w:rsidSect="007B38AD">
      <w:headerReference w:type="default" r:id="rId2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99DC8" w14:textId="77777777" w:rsidR="009D1AA2" w:rsidRDefault="009D1AA2" w:rsidP="009C3245">
      <w:r>
        <w:separator/>
      </w:r>
    </w:p>
  </w:endnote>
  <w:endnote w:type="continuationSeparator" w:id="0">
    <w:p w14:paraId="0946CF5A" w14:textId="77777777" w:rsidR="009D1AA2" w:rsidRDefault="009D1AA2" w:rsidP="009C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F0AF1" w14:textId="77777777" w:rsidR="009D1AA2" w:rsidRDefault="009D1AA2" w:rsidP="009C3245">
      <w:r>
        <w:separator/>
      </w:r>
    </w:p>
  </w:footnote>
  <w:footnote w:type="continuationSeparator" w:id="0">
    <w:p w14:paraId="498B4B26" w14:textId="77777777" w:rsidR="009D1AA2" w:rsidRDefault="009D1AA2" w:rsidP="009C3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260A8" w14:textId="77777777" w:rsidR="009C3245" w:rsidRDefault="00D85C60">
    <w:pPr>
      <w:pStyle w:val="Header"/>
    </w:pPr>
    <w:r>
      <w:rPr>
        <w:noProof/>
        <w:lang w:eastAsia="sk-SK"/>
      </w:rPr>
      <w:drawing>
        <wp:inline distT="0" distB="0" distL="0" distR="0" wp14:anchorId="7153405A" wp14:editId="21D89F1E">
          <wp:extent cx="2141783" cy="665331"/>
          <wp:effectExtent l="0" t="0" r="5080" b="0"/>
          <wp:docPr id="20" name="Picture 2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uppvii.png"/>
                  <pic:cNvPicPr/>
                </pic:nvPicPr>
                <pic:blipFill>
                  <a:blip r:embed="rId1">
                    <a:extLst>
                      <a:ext uri="{28A0092B-C50C-407E-A947-70E740481C1C}">
                        <a14:useLocalDpi xmlns:a14="http://schemas.microsoft.com/office/drawing/2010/main" val="0"/>
                      </a:ext>
                    </a:extLst>
                  </a:blip>
                  <a:stretch>
                    <a:fillRect/>
                  </a:stretch>
                </pic:blipFill>
                <pic:spPr>
                  <a:xfrm>
                    <a:off x="0" y="0"/>
                    <a:ext cx="2190286" cy="6803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636"/>
    <w:multiLevelType w:val="hybridMultilevel"/>
    <w:tmpl w:val="1B8AF9CA"/>
    <w:lvl w:ilvl="0" w:tplc="62608FF6">
      <w:numFmt w:val="bullet"/>
      <w:lvlText w:val=""/>
      <w:lvlJc w:val="left"/>
      <w:pPr>
        <w:ind w:left="72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014D90"/>
    <w:multiLevelType w:val="hybridMultilevel"/>
    <w:tmpl w:val="455C2820"/>
    <w:lvl w:ilvl="0" w:tplc="D046C390">
      <w:numFmt w:val="bullet"/>
      <w:lvlText w:val=""/>
      <w:lvlJc w:val="left"/>
      <w:pPr>
        <w:ind w:left="36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A4400ED"/>
    <w:multiLevelType w:val="hybridMultilevel"/>
    <w:tmpl w:val="31E2031E"/>
    <w:lvl w:ilvl="0" w:tplc="0EC619CA">
      <w:start w:val="1"/>
      <w:numFmt w:val="bullet"/>
      <w:lvlText w:val=""/>
      <w:lvlJc w:val="left"/>
      <w:pPr>
        <w:ind w:left="720" w:hanging="360"/>
      </w:pPr>
      <w:rPr>
        <w:rFonts w:ascii="Symbol" w:hAnsi="Symbol" w:hint="default"/>
        <w:color w:val="17365D"/>
        <w:w w:val="1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F236F3"/>
    <w:multiLevelType w:val="hybridMultilevel"/>
    <w:tmpl w:val="E3443BD8"/>
    <w:lvl w:ilvl="0" w:tplc="3EBE89A2">
      <w:numFmt w:val="bullet"/>
      <w:lvlText w:val=""/>
      <w:lvlJc w:val="left"/>
      <w:pPr>
        <w:ind w:left="36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47200E5"/>
    <w:multiLevelType w:val="hybridMultilevel"/>
    <w:tmpl w:val="E45C607E"/>
    <w:lvl w:ilvl="0" w:tplc="42E0001C">
      <w:numFmt w:val="bullet"/>
      <w:lvlText w:val=""/>
      <w:lvlJc w:val="left"/>
      <w:pPr>
        <w:ind w:left="36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52D7F75"/>
    <w:multiLevelType w:val="hybridMultilevel"/>
    <w:tmpl w:val="EB50E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500BC4"/>
    <w:multiLevelType w:val="hybridMultilevel"/>
    <w:tmpl w:val="452049AC"/>
    <w:lvl w:ilvl="0" w:tplc="D046C390">
      <w:numFmt w:val="bullet"/>
      <w:lvlText w:val=""/>
      <w:lvlJc w:val="left"/>
      <w:pPr>
        <w:ind w:left="72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2F57C8"/>
    <w:multiLevelType w:val="hybridMultilevel"/>
    <w:tmpl w:val="93F6DA5A"/>
    <w:lvl w:ilvl="0" w:tplc="44FC0872">
      <w:numFmt w:val="bullet"/>
      <w:lvlText w:val=""/>
      <w:lvlJc w:val="left"/>
      <w:pPr>
        <w:ind w:left="36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3A4A8A"/>
    <w:multiLevelType w:val="hybridMultilevel"/>
    <w:tmpl w:val="88B63AAC"/>
    <w:lvl w:ilvl="0" w:tplc="D046C390">
      <w:numFmt w:val="bullet"/>
      <w:lvlText w:val=""/>
      <w:lvlJc w:val="left"/>
      <w:pPr>
        <w:ind w:left="72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FD6DCA"/>
    <w:multiLevelType w:val="hybridMultilevel"/>
    <w:tmpl w:val="C89A2F2A"/>
    <w:lvl w:ilvl="0" w:tplc="C458F5E4">
      <w:numFmt w:val="bullet"/>
      <w:lvlText w:val=""/>
      <w:lvlJc w:val="left"/>
      <w:pPr>
        <w:ind w:left="36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E3372DB"/>
    <w:multiLevelType w:val="hybridMultilevel"/>
    <w:tmpl w:val="9E4A292A"/>
    <w:lvl w:ilvl="0" w:tplc="B1EC432C">
      <w:numFmt w:val="bullet"/>
      <w:lvlText w:val=""/>
      <w:lvlJc w:val="left"/>
      <w:pPr>
        <w:ind w:left="720" w:hanging="360"/>
      </w:pPr>
      <w:rPr>
        <w:rFonts w:ascii="Wingdings" w:eastAsia="Wingdings" w:hAnsi="Wingdings" w:cs="Wingdings" w:hint="default"/>
        <w:color w:val="17365D"/>
        <w:w w:val="100"/>
        <w:sz w:val="40"/>
        <w:szCs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9"/>
  </w:num>
  <w:num w:numId="5">
    <w:abstractNumId w:val="3"/>
  </w:num>
  <w:num w:numId="6">
    <w:abstractNumId w:val="1"/>
  </w:num>
  <w:num w:numId="7">
    <w:abstractNumId w:val="8"/>
  </w:num>
  <w:num w:numId="8">
    <w:abstractNumId w:val="6"/>
  </w:num>
  <w:num w:numId="9">
    <w:abstractNumId w:val="2"/>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2F"/>
    <w:rsid w:val="000049FF"/>
    <w:rsid w:val="00013AFE"/>
    <w:rsid w:val="0004699D"/>
    <w:rsid w:val="00052D04"/>
    <w:rsid w:val="000877B6"/>
    <w:rsid w:val="000951DC"/>
    <w:rsid w:val="000977FA"/>
    <w:rsid w:val="000B24AD"/>
    <w:rsid w:val="000B505E"/>
    <w:rsid w:val="000B53C2"/>
    <w:rsid w:val="000B616A"/>
    <w:rsid w:val="000D07AD"/>
    <w:rsid w:val="000D164A"/>
    <w:rsid w:val="000D2081"/>
    <w:rsid w:val="000D4122"/>
    <w:rsid w:val="000E38F4"/>
    <w:rsid w:val="000F75B0"/>
    <w:rsid w:val="000F7ECE"/>
    <w:rsid w:val="0010768F"/>
    <w:rsid w:val="00121E48"/>
    <w:rsid w:val="00125B01"/>
    <w:rsid w:val="00135BEC"/>
    <w:rsid w:val="001606CC"/>
    <w:rsid w:val="00163CD2"/>
    <w:rsid w:val="00186506"/>
    <w:rsid w:val="00187ABF"/>
    <w:rsid w:val="00192CF1"/>
    <w:rsid w:val="00193A00"/>
    <w:rsid w:val="00193EAE"/>
    <w:rsid w:val="00195CC9"/>
    <w:rsid w:val="001A1EF5"/>
    <w:rsid w:val="001A3DD0"/>
    <w:rsid w:val="001B2D98"/>
    <w:rsid w:val="001B5986"/>
    <w:rsid w:val="001B62BC"/>
    <w:rsid w:val="001C1EAB"/>
    <w:rsid w:val="001C5453"/>
    <w:rsid w:val="001C6C4D"/>
    <w:rsid w:val="001E6961"/>
    <w:rsid w:val="001E7120"/>
    <w:rsid w:val="00204C98"/>
    <w:rsid w:val="00211DD8"/>
    <w:rsid w:val="00212167"/>
    <w:rsid w:val="00220910"/>
    <w:rsid w:val="00222F55"/>
    <w:rsid w:val="0022670B"/>
    <w:rsid w:val="00232230"/>
    <w:rsid w:val="00234F2C"/>
    <w:rsid w:val="0023746C"/>
    <w:rsid w:val="00241A5E"/>
    <w:rsid w:val="002472B6"/>
    <w:rsid w:val="002538AC"/>
    <w:rsid w:val="0026074A"/>
    <w:rsid w:val="00273048"/>
    <w:rsid w:val="00273A59"/>
    <w:rsid w:val="00275DFE"/>
    <w:rsid w:val="00290948"/>
    <w:rsid w:val="002A2F53"/>
    <w:rsid w:val="002A48A6"/>
    <w:rsid w:val="002C55F2"/>
    <w:rsid w:val="002C6AAE"/>
    <w:rsid w:val="002D45BA"/>
    <w:rsid w:val="002D780A"/>
    <w:rsid w:val="002E1983"/>
    <w:rsid w:val="002F59B0"/>
    <w:rsid w:val="00312112"/>
    <w:rsid w:val="00312BAA"/>
    <w:rsid w:val="00315FB1"/>
    <w:rsid w:val="003236F3"/>
    <w:rsid w:val="003349A8"/>
    <w:rsid w:val="00336907"/>
    <w:rsid w:val="003427DB"/>
    <w:rsid w:val="0034417A"/>
    <w:rsid w:val="003509BF"/>
    <w:rsid w:val="00356D20"/>
    <w:rsid w:val="00357F7F"/>
    <w:rsid w:val="00361CEF"/>
    <w:rsid w:val="00361F51"/>
    <w:rsid w:val="00362CC2"/>
    <w:rsid w:val="0037362B"/>
    <w:rsid w:val="003A5EEE"/>
    <w:rsid w:val="003A6676"/>
    <w:rsid w:val="003A6916"/>
    <w:rsid w:val="003B1682"/>
    <w:rsid w:val="003B3E08"/>
    <w:rsid w:val="003B6FBC"/>
    <w:rsid w:val="003C191A"/>
    <w:rsid w:val="003D1373"/>
    <w:rsid w:val="003D5AA8"/>
    <w:rsid w:val="003D6A07"/>
    <w:rsid w:val="003F3F4D"/>
    <w:rsid w:val="003F5482"/>
    <w:rsid w:val="00411ADE"/>
    <w:rsid w:val="00412658"/>
    <w:rsid w:val="0041773D"/>
    <w:rsid w:val="0042245B"/>
    <w:rsid w:val="0043467B"/>
    <w:rsid w:val="004358E1"/>
    <w:rsid w:val="004363E5"/>
    <w:rsid w:val="00436CF5"/>
    <w:rsid w:val="00437BEE"/>
    <w:rsid w:val="004443F8"/>
    <w:rsid w:val="00451267"/>
    <w:rsid w:val="00452D11"/>
    <w:rsid w:val="004770EC"/>
    <w:rsid w:val="00482E2F"/>
    <w:rsid w:val="004928EC"/>
    <w:rsid w:val="00495253"/>
    <w:rsid w:val="004A3D26"/>
    <w:rsid w:val="004B1314"/>
    <w:rsid w:val="004C3323"/>
    <w:rsid w:val="004D7012"/>
    <w:rsid w:val="004D7515"/>
    <w:rsid w:val="004E2F7E"/>
    <w:rsid w:val="004E6A26"/>
    <w:rsid w:val="004F0C30"/>
    <w:rsid w:val="004F5BC8"/>
    <w:rsid w:val="005160B5"/>
    <w:rsid w:val="00525C72"/>
    <w:rsid w:val="005262C7"/>
    <w:rsid w:val="005277A6"/>
    <w:rsid w:val="00527E54"/>
    <w:rsid w:val="00530D13"/>
    <w:rsid w:val="0053159F"/>
    <w:rsid w:val="005342AB"/>
    <w:rsid w:val="00541CD2"/>
    <w:rsid w:val="0056145C"/>
    <w:rsid w:val="00563AE3"/>
    <w:rsid w:val="005912FB"/>
    <w:rsid w:val="005947D8"/>
    <w:rsid w:val="005A6C15"/>
    <w:rsid w:val="005B2CC9"/>
    <w:rsid w:val="005D4659"/>
    <w:rsid w:val="005E1786"/>
    <w:rsid w:val="005E1DFD"/>
    <w:rsid w:val="005E5ED1"/>
    <w:rsid w:val="005F0526"/>
    <w:rsid w:val="005F7D33"/>
    <w:rsid w:val="0060125C"/>
    <w:rsid w:val="006161D9"/>
    <w:rsid w:val="006173B8"/>
    <w:rsid w:val="00620296"/>
    <w:rsid w:val="00627DA8"/>
    <w:rsid w:val="00637D58"/>
    <w:rsid w:val="00642608"/>
    <w:rsid w:val="0065627C"/>
    <w:rsid w:val="00660FEA"/>
    <w:rsid w:val="00666800"/>
    <w:rsid w:val="00666CB5"/>
    <w:rsid w:val="00680980"/>
    <w:rsid w:val="00680D24"/>
    <w:rsid w:val="00684A60"/>
    <w:rsid w:val="00695835"/>
    <w:rsid w:val="00695C83"/>
    <w:rsid w:val="006A133B"/>
    <w:rsid w:val="006A6F97"/>
    <w:rsid w:val="006C1A7E"/>
    <w:rsid w:val="006C2AAB"/>
    <w:rsid w:val="006C2E0C"/>
    <w:rsid w:val="006C72B7"/>
    <w:rsid w:val="006F123D"/>
    <w:rsid w:val="006F5310"/>
    <w:rsid w:val="006F638C"/>
    <w:rsid w:val="00706482"/>
    <w:rsid w:val="00707B55"/>
    <w:rsid w:val="00713294"/>
    <w:rsid w:val="00714734"/>
    <w:rsid w:val="00717012"/>
    <w:rsid w:val="00717A29"/>
    <w:rsid w:val="00720DC1"/>
    <w:rsid w:val="007214D2"/>
    <w:rsid w:val="00726445"/>
    <w:rsid w:val="0074237D"/>
    <w:rsid w:val="007549BA"/>
    <w:rsid w:val="00755B3C"/>
    <w:rsid w:val="007879FC"/>
    <w:rsid w:val="0079300A"/>
    <w:rsid w:val="007A41D4"/>
    <w:rsid w:val="007B1E43"/>
    <w:rsid w:val="007B38AD"/>
    <w:rsid w:val="007D36C8"/>
    <w:rsid w:val="007E0AA2"/>
    <w:rsid w:val="007F130E"/>
    <w:rsid w:val="00801C25"/>
    <w:rsid w:val="00804253"/>
    <w:rsid w:val="0081004D"/>
    <w:rsid w:val="00811CD3"/>
    <w:rsid w:val="0081412D"/>
    <w:rsid w:val="00823CDE"/>
    <w:rsid w:val="00831EDA"/>
    <w:rsid w:val="008333C2"/>
    <w:rsid w:val="008403C5"/>
    <w:rsid w:val="0084432A"/>
    <w:rsid w:val="0084794B"/>
    <w:rsid w:val="008637FD"/>
    <w:rsid w:val="00863F54"/>
    <w:rsid w:val="00881BFA"/>
    <w:rsid w:val="00885541"/>
    <w:rsid w:val="00886962"/>
    <w:rsid w:val="0088755F"/>
    <w:rsid w:val="00895661"/>
    <w:rsid w:val="00897DDE"/>
    <w:rsid w:val="008A319D"/>
    <w:rsid w:val="008A3AEB"/>
    <w:rsid w:val="008A4F83"/>
    <w:rsid w:val="008B0F06"/>
    <w:rsid w:val="008B6536"/>
    <w:rsid w:val="008B7D3F"/>
    <w:rsid w:val="008C18FF"/>
    <w:rsid w:val="008E301A"/>
    <w:rsid w:val="008F33CE"/>
    <w:rsid w:val="00920FF2"/>
    <w:rsid w:val="00922776"/>
    <w:rsid w:val="00922777"/>
    <w:rsid w:val="00931C0F"/>
    <w:rsid w:val="00935281"/>
    <w:rsid w:val="00940C77"/>
    <w:rsid w:val="00950E50"/>
    <w:rsid w:val="00955EB9"/>
    <w:rsid w:val="00957A4F"/>
    <w:rsid w:val="00960275"/>
    <w:rsid w:val="00966002"/>
    <w:rsid w:val="009725C6"/>
    <w:rsid w:val="009808B0"/>
    <w:rsid w:val="00984F46"/>
    <w:rsid w:val="009964F9"/>
    <w:rsid w:val="009A6F17"/>
    <w:rsid w:val="009A7646"/>
    <w:rsid w:val="009B4BC3"/>
    <w:rsid w:val="009C3245"/>
    <w:rsid w:val="009D1AA2"/>
    <w:rsid w:val="009D416F"/>
    <w:rsid w:val="009D6332"/>
    <w:rsid w:val="009E0D13"/>
    <w:rsid w:val="009F2646"/>
    <w:rsid w:val="009F2CD9"/>
    <w:rsid w:val="009F77EC"/>
    <w:rsid w:val="00A2028A"/>
    <w:rsid w:val="00A26BAB"/>
    <w:rsid w:val="00A45CB8"/>
    <w:rsid w:val="00A51F4F"/>
    <w:rsid w:val="00A577F8"/>
    <w:rsid w:val="00A64971"/>
    <w:rsid w:val="00A7486E"/>
    <w:rsid w:val="00A811F6"/>
    <w:rsid w:val="00A82A3A"/>
    <w:rsid w:val="00AA49D1"/>
    <w:rsid w:val="00AB52F6"/>
    <w:rsid w:val="00AC0CAA"/>
    <w:rsid w:val="00AC6345"/>
    <w:rsid w:val="00AC74DB"/>
    <w:rsid w:val="00AD0E96"/>
    <w:rsid w:val="00AD4595"/>
    <w:rsid w:val="00AD5E57"/>
    <w:rsid w:val="00AD7F30"/>
    <w:rsid w:val="00AE69E6"/>
    <w:rsid w:val="00B10D0F"/>
    <w:rsid w:val="00B12F30"/>
    <w:rsid w:val="00B204F7"/>
    <w:rsid w:val="00B218DC"/>
    <w:rsid w:val="00B22784"/>
    <w:rsid w:val="00B353D3"/>
    <w:rsid w:val="00B43D51"/>
    <w:rsid w:val="00B44D5D"/>
    <w:rsid w:val="00B456A7"/>
    <w:rsid w:val="00B46BAB"/>
    <w:rsid w:val="00B54CD9"/>
    <w:rsid w:val="00B54ED4"/>
    <w:rsid w:val="00B63A97"/>
    <w:rsid w:val="00B64A5C"/>
    <w:rsid w:val="00B733CD"/>
    <w:rsid w:val="00B73D11"/>
    <w:rsid w:val="00B8589D"/>
    <w:rsid w:val="00B877E0"/>
    <w:rsid w:val="00B93F16"/>
    <w:rsid w:val="00B95E1F"/>
    <w:rsid w:val="00BA7897"/>
    <w:rsid w:val="00BB12F4"/>
    <w:rsid w:val="00BB181A"/>
    <w:rsid w:val="00BD2BA5"/>
    <w:rsid w:val="00BE2758"/>
    <w:rsid w:val="00BE6EB5"/>
    <w:rsid w:val="00C102C1"/>
    <w:rsid w:val="00C14CC5"/>
    <w:rsid w:val="00C316F8"/>
    <w:rsid w:val="00C33F97"/>
    <w:rsid w:val="00C36B01"/>
    <w:rsid w:val="00C40BD3"/>
    <w:rsid w:val="00C46589"/>
    <w:rsid w:val="00C51602"/>
    <w:rsid w:val="00C67BDA"/>
    <w:rsid w:val="00C7235D"/>
    <w:rsid w:val="00C72647"/>
    <w:rsid w:val="00C739ED"/>
    <w:rsid w:val="00C758EE"/>
    <w:rsid w:val="00C77A07"/>
    <w:rsid w:val="00C82335"/>
    <w:rsid w:val="00C85C7C"/>
    <w:rsid w:val="00CA54CD"/>
    <w:rsid w:val="00CA6BAD"/>
    <w:rsid w:val="00CC1A8B"/>
    <w:rsid w:val="00CC3F03"/>
    <w:rsid w:val="00CD663D"/>
    <w:rsid w:val="00CE33B2"/>
    <w:rsid w:val="00CE3944"/>
    <w:rsid w:val="00CF33D6"/>
    <w:rsid w:val="00D0216C"/>
    <w:rsid w:val="00D04DBB"/>
    <w:rsid w:val="00D14254"/>
    <w:rsid w:val="00D179D7"/>
    <w:rsid w:val="00D30FE6"/>
    <w:rsid w:val="00D41586"/>
    <w:rsid w:val="00D508FB"/>
    <w:rsid w:val="00D531A9"/>
    <w:rsid w:val="00D53690"/>
    <w:rsid w:val="00D63BB7"/>
    <w:rsid w:val="00D646B7"/>
    <w:rsid w:val="00D83EB3"/>
    <w:rsid w:val="00D85B03"/>
    <w:rsid w:val="00D85C60"/>
    <w:rsid w:val="00D923C4"/>
    <w:rsid w:val="00D95345"/>
    <w:rsid w:val="00D976EE"/>
    <w:rsid w:val="00D97C08"/>
    <w:rsid w:val="00DA7FFE"/>
    <w:rsid w:val="00DB07E6"/>
    <w:rsid w:val="00DB2826"/>
    <w:rsid w:val="00DB3058"/>
    <w:rsid w:val="00DB5D2B"/>
    <w:rsid w:val="00DC314A"/>
    <w:rsid w:val="00DC34F3"/>
    <w:rsid w:val="00DC4103"/>
    <w:rsid w:val="00DC5705"/>
    <w:rsid w:val="00DC5955"/>
    <w:rsid w:val="00DC7E8C"/>
    <w:rsid w:val="00DD79F7"/>
    <w:rsid w:val="00DF3537"/>
    <w:rsid w:val="00E01393"/>
    <w:rsid w:val="00E068FA"/>
    <w:rsid w:val="00E06E62"/>
    <w:rsid w:val="00E10A6F"/>
    <w:rsid w:val="00E14178"/>
    <w:rsid w:val="00E1431B"/>
    <w:rsid w:val="00E15DF9"/>
    <w:rsid w:val="00E1739A"/>
    <w:rsid w:val="00E205A1"/>
    <w:rsid w:val="00E2097E"/>
    <w:rsid w:val="00E230FC"/>
    <w:rsid w:val="00E24146"/>
    <w:rsid w:val="00E2771B"/>
    <w:rsid w:val="00E41249"/>
    <w:rsid w:val="00E430B3"/>
    <w:rsid w:val="00E45098"/>
    <w:rsid w:val="00E5594E"/>
    <w:rsid w:val="00E559F2"/>
    <w:rsid w:val="00E60B67"/>
    <w:rsid w:val="00E61587"/>
    <w:rsid w:val="00E707CB"/>
    <w:rsid w:val="00E74CD9"/>
    <w:rsid w:val="00E9156A"/>
    <w:rsid w:val="00E91FDA"/>
    <w:rsid w:val="00EA1127"/>
    <w:rsid w:val="00EA59A6"/>
    <w:rsid w:val="00EA7880"/>
    <w:rsid w:val="00EA7ADF"/>
    <w:rsid w:val="00EB1C3C"/>
    <w:rsid w:val="00EC05C7"/>
    <w:rsid w:val="00ED7048"/>
    <w:rsid w:val="00ED79CD"/>
    <w:rsid w:val="00EF0F3F"/>
    <w:rsid w:val="00F00F50"/>
    <w:rsid w:val="00F013EF"/>
    <w:rsid w:val="00F07F6C"/>
    <w:rsid w:val="00F114A5"/>
    <w:rsid w:val="00F13A28"/>
    <w:rsid w:val="00F31AAE"/>
    <w:rsid w:val="00F46991"/>
    <w:rsid w:val="00F47133"/>
    <w:rsid w:val="00F74427"/>
    <w:rsid w:val="00F833D3"/>
    <w:rsid w:val="00FB3441"/>
    <w:rsid w:val="00FD01F5"/>
    <w:rsid w:val="00FE4521"/>
    <w:rsid w:val="00FF1CD0"/>
    <w:rsid w:val="00FF67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CF8AD"/>
  <w15:docId w15:val="{64CB64A5-AD7C-1F49-B413-27FF2A3F1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230"/>
  </w:style>
  <w:style w:type="paragraph" w:styleId="Heading1">
    <w:name w:val="heading 1"/>
    <w:basedOn w:val="Normal"/>
    <w:next w:val="Normal"/>
    <w:link w:val="Heading1Char"/>
    <w:uiPriority w:val="9"/>
    <w:qFormat/>
    <w:rsid w:val="00482E2F"/>
    <w:pPr>
      <w:keepNext/>
      <w:keepLines/>
      <w:spacing w:before="240"/>
      <w:jc w:val="center"/>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82E2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758E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E2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82E2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922777"/>
    <w:pPr>
      <w:ind w:left="720"/>
      <w:contextualSpacing/>
    </w:pPr>
  </w:style>
  <w:style w:type="paragraph" w:styleId="Title">
    <w:name w:val="Title"/>
    <w:basedOn w:val="Normal"/>
    <w:next w:val="Normal"/>
    <w:link w:val="TitleChar"/>
    <w:uiPriority w:val="10"/>
    <w:qFormat/>
    <w:rsid w:val="0084432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32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C3245"/>
    <w:pPr>
      <w:tabs>
        <w:tab w:val="center" w:pos="4513"/>
        <w:tab w:val="right" w:pos="9026"/>
      </w:tabs>
    </w:pPr>
  </w:style>
  <w:style w:type="character" w:customStyle="1" w:styleId="HeaderChar">
    <w:name w:val="Header Char"/>
    <w:basedOn w:val="DefaultParagraphFont"/>
    <w:link w:val="Header"/>
    <w:uiPriority w:val="99"/>
    <w:rsid w:val="009C3245"/>
  </w:style>
  <w:style w:type="paragraph" w:styleId="Footer">
    <w:name w:val="footer"/>
    <w:basedOn w:val="Normal"/>
    <w:link w:val="FooterChar"/>
    <w:uiPriority w:val="99"/>
    <w:unhideWhenUsed/>
    <w:rsid w:val="009C3245"/>
    <w:pPr>
      <w:tabs>
        <w:tab w:val="center" w:pos="4513"/>
        <w:tab w:val="right" w:pos="9026"/>
      </w:tabs>
    </w:pPr>
  </w:style>
  <w:style w:type="character" w:customStyle="1" w:styleId="FooterChar">
    <w:name w:val="Footer Char"/>
    <w:basedOn w:val="DefaultParagraphFont"/>
    <w:link w:val="Footer"/>
    <w:uiPriority w:val="99"/>
    <w:rsid w:val="009C3245"/>
  </w:style>
  <w:style w:type="paragraph" w:styleId="BalloonText">
    <w:name w:val="Balloon Text"/>
    <w:basedOn w:val="Normal"/>
    <w:link w:val="BalloonTextChar"/>
    <w:uiPriority w:val="99"/>
    <w:semiHidden/>
    <w:unhideWhenUsed/>
    <w:rsid w:val="00A51F4F"/>
    <w:rPr>
      <w:rFonts w:ascii="Tahoma" w:hAnsi="Tahoma" w:cs="Tahoma"/>
      <w:sz w:val="16"/>
      <w:szCs w:val="16"/>
    </w:rPr>
  </w:style>
  <w:style w:type="character" w:customStyle="1" w:styleId="BalloonTextChar">
    <w:name w:val="Balloon Text Char"/>
    <w:basedOn w:val="DefaultParagraphFont"/>
    <w:link w:val="BalloonText"/>
    <w:uiPriority w:val="99"/>
    <w:semiHidden/>
    <w:rsid w:val="00A51F4F"/>
    <w:rPr>
      <w:rFonts w:ascii="Tahoma" w:hAnsi="Tahoma" w:cs="Tahoma"/>
      <w:sz w:val="16"/>
      <w:szCs w:val="16"/>
    </w:rPr>
  </w:style>
  <w:style w:type="character" w:customStyle="1" w:styleId="Heading3Char">
    <w:name w:val="Heading 3 Char"/>
    <w:basedOn w:val="DefaultParagraphFont"/>
    <w:link w:val="Heading3"/>
    <w:uiPriority w:val="9"/>
    <w:rsid w:val="00C758EE"/>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CF33D6"/>
  </w:style>
  <w:style w:type="paragraph" w:customStyle="1" w:styleId="li">
    <w:name w:val="li"/>
    <w:basedOn w:val="Normal"/>
    <w:rsid w:val="00CF33D6"/>
    <w:pPr>
      <w:spacing w:before="100" w:beforeAutospacing="1" w:after="100" w:afterAutospacing="1"/>
    </w:pPr>
    <w:rPr>
      <w:rFonts w:ascii="Times New Roman" w:eastAsia="Times New Roman" w:hAnsi="Times New Roman" w:cs="Times New Roman"/>
      <w:lang w:val="en-SK" w:eastAsia="en-GB"/>
    </w:rPr>
  </w:style>
  <w:style w:type="character" w:customStyle="1" w:styleId="num">
    <w:name w:val="num"/>
    <w:basedOn w:val="DefaultParagraphFont"/>
    <w:rsid w:val="00CF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50407">
      <w:bodyDiv w:val="1"/>
      <w:marLeft w:val="0"/>
      <w:marRight w:val="0"/>
      <w:marTop w:val="0"/>
      <w:marBottom w:val="0"/>
      <w:divBdr>
        <w:top w:val="none" w:sz="0" w:space="0" w:color="auto"/>
        <w:left w:val="none" w:sz="0" w:space="0" w:color="auto"/>
        <w:bottom w:val="none" w:sz="0" w:space="0" w:color="auto"/>
        <w:right w:val="none" w:sz="0" w:space="0" w:color="auto"/>
      </w:divBdr>
    </w:div>
    <w:div w:id="127086966">
      <w:bodyDiv w:val="1"/>
      <w:marLeft w:val="0"/>
      <w:marRight w:val="0"/>
      <w:marTop w:val="0"/>
      <w:marBottom w:val="0"/>
      <w:divBdr>
        <w:top w:val="none" w:sz="0" w:space="0" w:color="auto"/>
        <w:left w:val="none" w:sz="0" w:space="0" w:color="auto"/>
        <w:bottom w:val="none" w:sz="0" w:space="0" w:color="auto"/>
        <w:right w:val="none" w:sz="0" w:space="0" w:color="auto"/>
      </w:divBdr>
    </w:div>
    <w:div w:id="212041414">
      <w:bodyDiv w:val="1"/>
      <w:marLeft w:val="0"/>
      <w:marRight w:val="0"/>
      <w:marTop w:val="0"/>
      <w:marBottom w:val="0"/>
      <w:divBdr>
        <w:top w:val="none" w:sz="0" w:space="0" w:color="auto"/>
        <w:left w:val="none" w:sz="0" w:space="0" w:color="auto"/>
        <w:bottom w:val="none" w:sz="0" w:space="0" w:color="auto"/>
        <w:right w:val="none" w:sz="0" w:space="0" w:color="auto"/>
      </w:divBdr>
    </w:div>
    <w:div w:id="777027422">
      <w:bodyDiv w:val="1"/>
      <w:marLeft w:val="0"/>
      <w:marRight w:val="0"/>
      <w:marTop w:val="0"/>
      <w:marBottom w:val="0"/>
      <w:divBdr>
        <w:top w:val="none" w:sz="0" w:space="0" w:color="auto"/>
        <w:left w:val="none" w:sz="0" w:space="0" w:color="auto"/>
        <w:bottom w:val="none" w:sz="0" w:space="0" w:color="auto"/>
        <w:right w:val="none" w:sz="0" w:space="0" w:color="auto"/>
      </w:divBdr>
    </w:div>
    <w:div w:id="936249938">
      <w:bodyDiv w:val="1"/>
      <w:marLeft w:val="0"/>
      <w:marRight w:val="0"/>
      <w:marTop w:val="0"/>
      <w:marBottom w:val="0"/>
      <w:divBdr>
        <w:top w:val="none" w:sz="0" w:space="0" w:color="auto"/>
        <w:left w:val="none" w:sz="0" w:space="0" w:color="auto"/>
        <w:bottom w:val="none" w:sz="0" w:space="0" w:color="auto"/>
        <w:right w:val="none" w:sz="0" w:space="0" w:color="auto"/>
      </w:divBdr>
    </w:div>
    <w:div w:id="120116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svg"/><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svg"/><Relationship Id="rId28"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customXml" Target="../customXml/item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charts/_rels/chart1.xml.rels><?xml version="1.0" encoding="UTF-8" standalone="yes"?>
<Relationships xmlns="http://schemas.openxmlformats.org/package/2006/relationships"><Relationship Id="rId3" Type="http://schemas.openxmlformats.org/officeDocument/2006/relationships/oleObject" Target="file:////Users/martinbezek/Library/Containers/com.apple.mail/Data/Library/Mail%20Downloads/89FE8AEB-300C-486E-831A-DDFA8166E288/20200129_Z&#780;oNFP_SC_PO7OPI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martinbezek/Library/Containers/com.apple.mail/Data/Library/Mail%20Downloads/89FE8AEB-300C-486E-831A-DDFA8166E288/20200129_Z&#780;oNFP_SC_PO7OPII.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1"/>
              <a:t>Approved projects in EUR</a:t>
            </a:r>
          </a:p>
        </c:rich>
      </c:tx>
      <c:layout>
        <c:manualLayout>
          <c:xMode val="edge"/>
          <c:yMode val="edge"/>
          <c:x val="2.6121134888137495E-2"/>
          <c:y val="2.700513097488522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SK"/>
        </a:p>
      </c:txPr>
    </c:title>
    <c:autoTitleDeleted val="0"/>
    <c:plotArea>
      <c:layout>
        <c:manualLayout>
          <c:layoutTarget val="inner"/>
          <c:xMode val="edge"/>
          <c:yMode val="edge"/>
          <c:x val="0.11435608678411603"/>
          <c:y val="0.23267280625838593"/>
          <c:w val="0.47913583382722319"/>
          <c:h val="0.7660681813054171"/>
        </c:manualLayout>
      </c:layout>
      <c:pieChart>
        <c:varyColors val="1"/>
        <c:ser>
          <c:idx val="0"/>
          <c:order val="0"/>
          <c:tx>
            <c:strRef>
              <c:f>KT!$F$2</c:f>
              <c:strCache>
                <c:ptCount val="1"/>
                <c:pt idx="0">
                  <c:v>Approved projects in EUR</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DC1-6A44-B4B3-400E8241F3A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DC1-6A44-B4B3-400E8241F3A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DC1-6A44-B4B3-400E8241F3A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DC1-6A44-B4B3-400E8241F3A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DC1-6A44-B4B3-400E8241F3A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7DC1-6A44-B4B3-400E8241F3A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7DC1-6A44-B4B3-400E8241F3A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7DC1-6A44-B4B3-400E8241F3AB}"/>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7DC1-6A44-B4B3-400E8241F3AB}"/>
              </c:ext>
            </c:extLst>
          </c:dPt>
          <c:dLbls>
            <c:spPr>
              <a:solidFill>
                <a:schemeClr val="bg1"/>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KT!$E$3:$E$11</c:f>
              <c:strCache>
                <c:ptCount val="9"/>
                <c:pt idx="0">
                  <c:v>Specific objective 7.1</c:v>
                </c:pt>
                <c:pt idx="1">
                  <c:v>Specific objective 7.2</c:v>
                </c:pt>
                <c:pt idx="2">
                  <c:v>Specific objective 7.3</c:v>
                </c:pt>
                <c:pt idx="3">
                  <c:v>Specific objective 7.4</c:v>
                </c:pt>
                <c:pt idx="4">
                  <c:v>Specific objective 7.5</c:v>
                </c:pt>
                <c:pt idx="5">
                  <c:v>Specific objective 7.6</c:v>
                </c:pt>
                <c:pt idx="6">
                  <c:v>Specific objective 7.7</c:v>
                </c:pt>
                <c:pt idx="7">
                  <c:v>Specific objective 7.8</c:v>
                </c:pt>
                <c:pt idx="8">
                  <c:v>Specific objective 7.9</c:v>
                </c:pt>
              </c:strCache>
            </c:strRef>
          </c:cat>
          <c:val>
            <c:numRef>
              <c:f>KT!$F$3:$F$11</c:f>
              <c:numCache>
                <c:formatCode>_-* #,##0.00\ [$€-41B]_-;\-* #,##0.00\ [$€-41B]_-;_-* "-"??\ [$€-41B]_-;_-@_-</c:formatCode>
                <c:ptCount val="9"/>
                <c:pt idx="0">
                  <c:v>34022674.460000001</c:v>
                </c:pt>
                <c:pt idx="1">
                  <c:v>5038374.91</c:v>
                </c:pt>
                <c:pt idx="2">
                  <c:v>176427678.64000005</c:v>
                </c:pt>
                <c:pt idx="3">
                  <c:v>205280397.23000005</c:v>
                </c:pt>
                <c:pt idx="4">
                  <c:v>150982546.02999997</c:v>
                </c:pt>
                <c:pt idx="5">
                  <c:v>50755136.329999991</c:v>
                </c:pt>
                <c:pt idx="6">
                  <c:v>535708526.67000008</c:v>
                </c:pt>
                <c:pt idx="7">
                  <c:v>184182108.67000002</c:v>
                </c:pt>
                <c:pt idx="8">
                  <c:v>156253375.43000001</c:v>
                </c:pt>
              </c:numCache>
            </c:numRef>
          </c:val>
          <c:extLst>
            <c:ext xmlns:c16="http://schemas.microsoft.com/office/drawing/2014/chart" uri="{C3380CC4-5D6E-409C-BE32-E72D297353CC}">
              <c16:uniqueId val="{00000012-7DC1-6A44-B4B3-400E8241F3AB}"/>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071292131649012"/>
          <c:y val="0.1873819461679038"/>
          <c:w val="0.34269166713872995"/>
          <c:h val="0.75244613406132255"/>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S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Number</a:t>
            </a:r>
            <a:r>
              <a:rPr lang="en-GB" baseline="0"/>
              <a:t> of approved project based on specific objective </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SK"/>
        </a:p>
      </c:txPr>
    </c:title>
    <c:autoTitleDeleted val="0"/>
    <c:plotArea>
      <c:layout/>
      <c:barChart>
        <c:barDir val="col"/>
        <c:grouping val="clustered"/>
        <c:varyColors val="0"/>
        <c:ser>
          <c:idx val="0"/>
          <c:order val="0"/>
          <c:spPr>
            <a:solidFill>
              <a:schemeClr val="accent1"/>
            </a:solidFill>
            <a:ln>
              <a:noFill/>
            </a:ln>
            <a:effectLst/>
          </c:spPr>
          <c:invertIfNegative val="0"/>
          <c:cat>
            <c:strRef>
              <c:f>Sheet1!$A$4:$A$10</c:f>
              <c:strCache>
                <c:ptCount val="7"/>
                <c:pt idx="0">
                  <c:v>Specific objective 7.3</c:v>
                </c:pt>
                <c:pt idx="1">
                  <c:v>Specific objective 7.4</c:v>
                </c:pt>
                <c:pt idx="2">
                  <c:v>Specific objective 7.5</c:v>
                </c:pt>
                <c:pt idx="3">
                  <c:v>Specific objective 7.6</c:v>
                </c:pt>
                <c:pt idx="4">
                  <c:v>Specific objective 7.7</c:v>
                </c:pt>
                <c:pt idx="5">
                  <c:v>Specific objective 7.8</c:v>
                </c:pt>
                <c:pt idx="6">
                  <c:v>Specific objective 7.9</c:v>
                </c:pt>
              </c:strCache>
            </c:strRef>
          </c:cat>
          <c:val>
            <c:numRef>
              <c:f>Sheet1!$B$4:$B$10</c:f>
              <c:numCache>
                <c:formatCode>General</c:formatCode>
                <c:ptCount val="7"/>
                <c:pt idx="0">
                  <c:v>35</c:v>
                </c:pt>
                <c:pt idx="1">
                  <c:v>37</c:v>
                </c:pt>
                <c:pt idx="2">
                  <c:v>45</c:v>
                </c:pt>
                <c:pt idx="3">
                  <c:v>10</c:v>
                </c:pt>
                <c:pt idx="4">
                  <c:v>84</c:v>
                </c:pt>
                <c:pt idx="5">
                  <c:v>26</c:v>
                </c:pt>
                <c:pt idx="6">
                  <c:v>16</c:v>
                </c:pt>
              </c:numCache>
            </c:numRef>
          </c:val>
          <c:extLst>
            <c:ext xmlns:c16="http://schemas.microsoft.com/office/drawing/2014/chart" uri="{C3380CC4-5D6E-409C-BE32-E72D297353CC}">
              <c16:uniqueId val="{00000000-7C69-394D-9C29-E88ABCC1BD18}"/>
            </c:ext>
          </c:extLst>
        </c:ser>
        <c:dLbls>
          <c:showLegendKey val="0"/>
          <c:showVal val="0"/>
          <c:showCatName val="0"/>
          <c:showSerName val="0"/>
          <c:showPercent val="0"/>
          <c:showBubbleSize val="0"/>
        </c:dLbls>
        <c:gapWidth val="219"/>
        <c:overlap val="-27"/>
        <c:axId val="879775184"/>
        <c:axId val="880228064"/>
      </c:barChart>
      <c:catAx>
        <c:axId val="87977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K"/>
          </a:p>
        </c:txPr>
        <c:crossAx val="880228064"/>
        <c:crosses val="autoZero"/>
        <c:auto val="1"/>
        <c:lblAlgn val="ctr"/>
        <c:lblOffset val="100"/>
        <c:noMultiLvlLbl val="0"/>
      </c:catAx>
      <c:valAx>
        <c:axId val="880228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SK"/>
          </a:p>
        </c:txPr>
        <c:crossAx val="8797751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CTYWSUCD3UHA-2032434865-303</_dlc_DocId>
    <_dlc_DocIdUrl xmlns="af457a4c-de28-4d38-bda9-e56a61b168cd">
      <Url>https://sp.vicepremier.gov.sk/governance-a-delivery/_layouts/15/DocIdRedir.aspx?ID=CTYWSUCD3UHA-2032434865-303</Url>
      <Description>CTYWSUCD3UHA-2032434865-303</Description>
    </_dlc_DocIdUrl>
  </documentManagement>
</p:properties>
</file>

<file path=customXml/itemProps1.xml><?xml version="1.0" encoding="utf-8"?>
<ds:datastoreItem xmlns:ds="http://schemas.openxmlformats.org/officeDocument/2006/customXml" ds:itemID="{1949FB92-D343-C148-B8B7-DFB56E37D878}">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269B8A97-1E10-4311-BCBE-824FDE2298E6}"/>
</file>

<file path=customXml/itemProps3.xml><?xml version="1.0" encoding="utf-8"?>
<ds:datastoreItem xmlns:ds="http://schemas.openxmlformats.org/officeDocument/2006/customXml" ds:itemID="{031AEDDF-F7B0-403A-9338-F7F4D8A0C24A}"/>
</file>

<file path=customXml/itemProps4.xml><?xml version="1.0" encoding="utf-8"?>
<ds:datastoreItem xmlns:ds="http://schemas.openxmlformats.org/officeDocument/2006/customXml" ds:itemID="{27F7E5B6-085C-49B2-8158-2795DF705418}"/>
</file>

<file path=customXml/itemProps5.xml><?xml version="1.0" encoding="utf-8"?>
<ds:datastoreItem xmlns:ds="http://schemas.openxmlformats.org/officeDocument/2006/customXml" ds:itemID="{547A700B-B573-4244-81BC-66D4C80558CD}"/>
</file>

<file path=docProps/app.xml><?xml version="1.0" encoding="utf-8"?>
<Properties xmlns="http://schemas.openxmlformats.org/officeDocument/2006/extended-properties" xmlns:vt="http://schemas.openxmlformats.org/officeDocument/2006/docPropsVTypes">
  <Template>Normal</Template>
  <TotalTime>0</TotalTime>
  <Pages>10</Pages>
  <Words>2549</Words>
  <Characters>14530</Characters>
  <Application>Microsoft Office Word</Application>
  <DocSecurity>0</DocSecurity>
  <Lines>121</Lines>
  <Paragraphs>34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Bezek</dc:creator>
  <cp:lastModifiedBy>Jaroslav Kmeť</cp:lastModifiedBy>
  <cp:revision>2</cp:revision>
  <dcterms:created xsi:type="dcterms:W3CDTF">2020-02-24T12:31:00Z</dcterms:created>
  <dcterms:modified xsi:type="dcterms:W3CDTF">2020-02-24T12:31:00Z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247e2de6-12e6-4872-ba6d-a1cf10bb91f1</vt:lpwstr>
  </property>
</Properties>
</file>